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after="360" w:line="276" w:lineRule="auto"/>
        <w:rPr>
          <w:rFonts w:ascii="Arial" w:hAnsi="Arial" w:cs="Arial"/>
          <w:bCs/>
        </w:rPr>
      </w:pPr>
      <w:r>
        <w:rPr>
          <w:rFonts w:ascii="Arial" w:hAnsi="Arial" w:cs="Arial"/>
          <w:bCs/>
        </w:rPr>
        <w:t>Příloha č. 2 Výzvy k podání nabídek</w:t>
      </w:r>
    </w:p>
    <w:p>
      <w:pPr>
        <w:spacing w:before="240" w:after="240" w:line="276" w:lineRule="auto"/>
        <w:contextualSpacing/>
        <w:jc w:val="center"/>
        <w:rPr>
          <w:rFonts w:ascii="Arial" w:hAnsi="Arial" w:cs="Arial"/>
          <w:b/>
          <w:sz w:val="32"/>
          <w:szCs w:val="32"/>
        </w:rPr>
      </w:pPr>
      <w:r>
        <w:rPr>
          <w:rFonts w:ascii="Arial" w:hAnsi="Arial" w:cs="Arial"/>
          <w:b/>
          <w:sz w:val="32"/>
          <w:szCs w:val="32"/>
        </w:rPr>
        <w:t xml:space="preserve"> </w:t>
      </w:r>
      <w:r>
        <w:rPr>
          <w:rFonts w:ascii="Arial" w:hAnsi="Arial" w:cs="Arial"/>
          <w:b/>
          <w:sz w:val="32"/>
          <w:szCs w:val="32"/>
        </w:rPr>
        <w:fldChar w:fldCharType="begin"/>
      </w:r>
      <w:r>
        <w:rPr>
          <w:rFonts w:ascii="Arial" w:hAnsi="Arial" w:cs="Arial"/>
          <w:b/>
          <w:sz w:val="32"/>
          <w:szCs w:val="32"/>
        </w:rPr>
        <w:instrText xml:space="preserve"> FILLIN  "Vložte hodnotu"  \* MERGEFORMAT </w:instrText>
      </w:r>
      <w:r>
        <w:rPr>
          <w:rFonts w:ascii="Arial" w:hAnsi="Arial" w:cs="Arial"/>
          <w:b/>
          <w:sz w:val="32"/>
          <w:szCs w:val="32"/>
        </w:rPr>
        <w:fldChar w:fldCharType="end"/>
      </w:r>
      <w:r>
        <w:rPr>
          <w:rFonts w:ascii="Arial" w:hAnsi="Arial" w:cs="Arial"/>
          <w:b/>
          <w:sz w:val="32"/>
          <w:szCs w:val="32"/>
        </w:rPr>
        <w:t>Návrh smlouvy o vytvoření nových webových stránek města (včetně technické podpory)</w:t>
      </w:r>
    </w:p>
    <w:p>
      <w:pPr>
        <w:spacing w:before="240" w:after="240" w:line="276" w:lineRule="auto"/>
        <w:contextualSpacing/>
        <w:jc w:val="center"/>
        <w:rPr>
          <w:rFonts w:ascii="Arial" w:hAnsi="Arial" w:cs="Arial"/>
          <w:b/>
          <w:sz w:val="28"/>
        </w:rPr>
      </w:pPr>
    </w:p>
    <w:tbl>
      <w:tblPr>
        <w:tblStyle w:val="Mkatabulky12"/>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5DCE4"/>
        <w:tblLook w:val="04A0" w:firstRow="1" w:lastRow="0" w:firstColumn="1" w:lastColumn="0" w:noHBand="0" w:noVBand="1"/>
      </w:tblPr>
      <w:tblGrid>
        <w:gridCol w:w="4432"/>
        <w:gridCol w:w="5032"/>
      </w:tblGrid>
      <w:tr>
        <w:tc>
          <w:tcPr>
            <w:tcW w:w="9464" w:type="dxa"/>
            <w:gridSpan w:val="2"/>
          </w:tcPr>
          <w:p>
            <w:pPr>
              <w:widowControl w:val="0"/>
              <w:tabs>
                <w:tab w:val="left" w:pos="5580"/>
              </w:tabs>
              <w:spacing w:before="60" w:after="60" w:line="276" w:lineRule="auto"/>
              <w:rPr>
                <w:rFonts w:ascii="Arial" w:eastAsia="Calibri" w:hAnsi="Arial" w:cs="Arial"/>
                <w:b/>
                <w:sz w:val="28"/>
                <w:szCs w:val="28"/>
              </w:rPr>
            </w:pPr>
            <w:r>
              <w:rPr>
                <w:rFonts w:ascii="Arial" w:hAnsi="Arial" w:cs="Arial"/>
                <w:b/>
                <w:sz w:val="28"/>
                <w:szCs w:val="32"/>
              </w:rPr>
              <w:t>Identifikace veřejné zakázky</w:t>
            </w:r>
          </w:p>
        </w:tc>
      </w:tr>
      <w:tr>
        <w:tc>
          <w:tcPr>
            <w:tcW w:w="4432" w:type="dxa"/>
          </w:tcPr>
          <w:p>
            <w:pPr>
              <w:widowControl w:val="0"/>
              <w:tabs>
                <w:tab w:val="left" w:pos="5580"/>
              </w:tabs>
              <w:spacing w:before="60" w:after="60" w:line="276" w:lineRule="auto"/>
              <w:jc w:val="right"/>
              <w:rPr>
                <w:rFonts w:ascii="Arial" w:eastAsia="Calibri" w:hAnsi="Arial" w:cs="Arial"/>
                <w:b/>
                <w:szCs w:val="22"/>
              </w:rPr>
            </w:pPr>
            <w:r>
              <w:rPr>
                <w:rFonts w:ascii="Arial" w:hAnsi="Arial" w:cs="Arial"/>
                <w:b/>
              </w:rPr>
              <w:t>Název:</w:t>
            </w:r>
          </w:p>
        </w:tc>
        <w:tc>
          <w:tcPr>
            <w:tcW w:w="5032" w:type="dxa"/>
          </w:tcPr>
          <w:p>
            <w:pPr>
              <w:widowControl w:val="0"/>
              <w:tabs>
                <w:tab w:val="left" w:pos="5580"/>
              </w:tabs>
              <w:spacing w:before="60" w:after="60" w:line="276" w:lineRule="auto"/>
              <w:rPr>
                <w:rFonts w:ascii="Arial" w:eastAsia="Calibri" w:hAnsi="Arial" w:cs="Arial"/>
                <w:b/>
                <w:szCs w:val="22"/>
              </w:rPr>
            </w:pPr>
            <w:r>
              <w:rPr>
                <w:rFonts w:ascii="Arial" w:hAnsi="Arial" w:cs="Arial"/>
                <w:b/>
                <w:bCs/>
                <w:color w:val="000000"/>
                <w:szCs w:val="22"/>
              </w:rPr>
              <w:t>Webové stránky města Žďár nad Sázavou</w:t>
            </w:r>
          </w:p>
        </w:tc>
      </w:tr>
      <w:tr>
        <w:tc>
          <w:tcPr>
            <w:tcW w:w="4432" w:type="dxa"/>
          </w:tcPr>
          <w:p>
            <w:pPr>
              <w:widowControl w:val="0"/>
              <w:tabs>
                <w:tab w:val="left" w:pos="5580"/>
              </w:tabs>
              <w:spacing w:before="60" w:after="60" w:line="276" w:lineRule="auto"/>
              <w:jc w:val="right"/>
              <w:rPr>
                <w:rFonts w:ascii="Arial" w:eastAsia="Calibri" w:hAnsi="Arial" w:cs="Arial"/>
                <w:szCs w:val="22"/>
              </w:rPr>
            </w:pPr>
            <w:r>
              <w:rPr>
                <w:rFonts w:ascii="Arial" w:hAnsi="Arial" w:cs="Arial"/>
              </w:rPr>
              <w:t>Druh veřejné zakázky:</w:t>
            </w:r>
          </w:p>
        </w:tc>
        <w:tc>
          <w:tcPr>
            <w:tcW w:w="5032" w:type="dxa"/>
          </w:tcPr>
          <w:p>
            <w:pPr>
              <w:widowControl w:val="0"/>
              <w:tabs>
                <w:tab w:val="left" w:pos="5580"/>
              </w:tabs>
              <w:spacing w:before="60" w:after="60" w:line="276" w:lineRule="auto"/>
              <w:rPr>
                <w:rFonts w:ascii="Arial" w:eastAsia="Calibri" w:hAnsi="Arial" w:cs="Arial"/>
                <w:szCs w:val="22"/>
              </w:rPr>
            </w:pPr>
            <w:r>
              <w:rPr>
                <w:rFonts w:ascii="Arial" w:hAnsi="Arial" w:cs="Arial"/>
              </w:rPr>
              <w:t>Služby</w:t>
            </w:r>
          </w:p>
        </w:tc>
      </w:tr>
      <w:tr>
        <w:tc>
          <w:tcPr>
            <w:tcW w:w="4432" w:type="dxa"/>
          </w:tcPr>
          <w:p>
            <w:pPr>
              <w:widowControl w:val="0"/>
              <w:tabs>
                <w:tab w:val="left" w:pos="5580"/>
              </w:tabs>
              <w:spacing w:before="60" w:after="60" w:line="276" w:lineRule="auto"/>
              <w:jc w:val="right"/>
              <w:rPr>
                <w:rFonts w:ascii="Arial" w:eastAsia="Calibri" w:hAnsi="Arial" w:cs="Arial"/>
                <w:szCs w:val="22"/>
              </w:rPr>
            </w:pPr>
            <w:r>
              <w:rPr>
                <w:rFonts w:ascii="Arial" w:hAnsi="Arial" w:cs="Arial"/>
              </w:rPr>
              <w:t>Druh zadávacího řízení:</w:t>
            </w:r>
          </w:p>
        </w:tc>
        <w:tc>
          <w:tcPr>
            <w:tcW w:w="5032" w:type="dxa"/>
          </w:tcPr>
          <w:p>
            <w:pPr>
              <w:widowControl w:val="0"/>
              <w:tabs>
                <w:tab w:val="left" w:pos="5580"/>
              </w:tabs>
              <w:spacing w:before="60" w:after="60" w:line="276" w:lineRule="auto"/>
              <w:rPr>
                <w:rFonts w:ascii="Arial" w:eastAsia="Calibri" w:hAnsi="Arial" w:cs="Arial"/>
                <w:szCs w:val="22"/>
              </w:rPr>
            </w:pPr>
            <w:sdt>
              <w:sdtPr>
                <w:rPr>
                  <w:rFonts w:ascii="Arial" w:hAnsi="Arial" w:cs="Arial"/>
                </w:rPr>
                <w:id w:val="825864881"/>
                <w:placeholder>
                  <w:docPart w:val="605D3A6B448DB8418C7A46AD998FC183"/>
                </w:placeholder>
                <w:comboBox>
                  <w:listItem w:value="Zvolte položku."/>
                  <w:listItem w:displayText="Zjednodušené podlimitní řízení" w:value="Zjednodušené podlimitní řízení"/>
                  <w:listItem w:displayText="Otevřené řízení" w:value="Otevřené řízení"/>
                  <w:listItem w:displayText="Užší řízení" w:value="Užší řízení"/>
                  <w:listItem w:displayText="Jednací řízení bez uveřejnění" w:value="Jednací řízení bez uveřejnění"/>
                  <w:listItem w:displayText="Jednací řízení s uveřejněním" w:value="Jednací řízení s uveřejněním"/>
                  <w:listItem w:displayText="Veřejná zakázka malého rozsahu" w:value="Veřejná zakázka malého rozsahu"/>
                </w:comboBox>
              </w:sdtPr>
              <w:sdtContent>
                <w:r>
                  <w:rPr>
                    <w:rFonts w:ascii="Arial" w:hAnsi="Arial" w:cs="Arial"/>
                  </w:rPr>
                  <w:t>Veřejná zakázka malého rozsahu</w:t>
                </w:r>
              </w:sdtContent>
            </w:sdt>
          </w:p>
        </w:tc>
      </w:tr>
      <w:tr>
        <w:tc>
          <w:tcPr>
            <w:tcW w:w="4432" w:type="dxa"/>
          </w:tcPr>
          <w:p>
            <w:pPr>
              <w:widowControl w:val="0"/>
              <w:tabs>
                <w:tab w:val="left" w:pos="5580"/>
              </w:tabs>
              <w:spacing w:before="60" w:after="60" w:line="276" w:lineRule="auto"/>
              <w:jc w:val="right"/>
              <w:rPr>
                <w:rFonts w:ascii="Arial" w:eastAsia="Calibri" w:hAnsi="Arial" w:cs="Arial"/>
                <w:szCs w:val="22"/>
              </w:rPr>
            </w:pPr>
            <w:r>
              <w:rPr>
                <w:rFonts w:ascii="Arial" w:hAnsi="Arial" w:cs="Arial"/>
              </w:rPr>
              <w:t>Adresa veřejné zakázky:</w:t>
            </w:r>
          </w:p>
        </w:tc>
        <w:tc>
          <w:tcPr>
            <w:tcW w:w="5032" w:type="dxa"/>
          </w:tcPr>
          <w:p>
            <w:pPr>
              <w:widowControl w:val="0"/>
              <w:tabs>
                <w:tab w:val="left" w:pos="5580"/>
              </w:tabs>
              <w:spacing w:before="60" w:after="60" w:line="276" w:lineRule="auto"/>
              <w:rPr>
                <w:rFonts w:ascii="Arial" w:eastAsia="Calibri" w:hAnsi="Arial" w:cs="Arial"/>
                <w:color w:val="0000FF"/>
                <w:szCs w:val="22"/>
              </w:rPr>
            </w:pPr>
          </w:p>
        </w:tc>
      </w:tr>
      <w:tr>
        <w:tc>
          <w:tcPr>
            <w:tcW w:w="9464" w:type="dxa"/>
            <w:gridSpan w:val="2"/>
          </w:tcPr>
          <w:p>
            <w:pPr>
              <w:widowControl w:val="0"/>
              <w:spacing w:before="60" w:after="60" w:line="276" w:lineRule="auto"/>
              <w:rPr>
                <w:rFonts w:ascii="Arial" w:eastAsia="Calibri" w:hAnsi="Arial" w:cs="Arial"/>
                <w:b/>
                <w:sz w:val="28"/>
                <w:szCs w:val="28"/>
              </w:rPr>
            </w:pPr>
          </w:p>
          <w:p>
            <w:pPr>
              <w:widowControl w:val="0"/>
              <w:spacing w:before="60" w:after="60" w:line="276" w:lineRule="auto"/>
              <w:rPr>
                <w:rFonts w:ascii="Arial" w:eastAsia="Calibri" w:hAnsi="Arial" w:cs="Arial"/>
                <w:sz w:val="28"/>
                <w:szCs w:val="28"/>
              </w:rPr>
            </w:pPr>
            <w:r>
              <w:rPr>
                <w:rFonts w:ascii="Arial" w:eastAsia="Calibri" w:hAnsi="Arial" w:cs="Arial"/>
                <w:b/>
                <w:sz w:val="28"/>
                <w:szCs w:val="28"/>
              </w:rPr>
              <w:t>Identifikační údaje zadavatele</w:t>
            </w:r>
          </w:p>
        </w:tc>
      </w:tr>
      <w:tr>
        <w:tc>
          <w:tcPr>
            <w:tcW w:w="4432" w:type="dxa"/>
          </w:tcPr>
          <w:p>
            <w:pPr>
              <w:widowControl w:val="0"/>
              <w:spacing w:before="60" w:after="60" w:line="276" w:lineRule="auto"/>
              <w:jc w:val="right"/>
              <w:rPr>
                <w:rFonts w:ascii="Arial" w:eastAsia="Calibri" w:hAnsi="Arial" w:cs="Arial"/>
                <w:b/>
                <w:szCs w:val="22"/>
              </w:rPr>
            </w:pPr>
            <w:r>
              <w:rPr>
                <w:rFonts w:ascii="Arial" w:hAnsi="Arial" w:cs="Arial"/>
                <w:b/>
              </w:rPr>
              <w:t>Název:</w:t>
            </w:r>
          </w:p>
        </w:tc>
        <w:tc>
          <w:tcPr>
            <w:tcW w:w="5032" w:type="dxa"/>
          </w:tcPr>
          <w:p>
            <w:pPr>
              <w:widowControl w:val="0"/>
              <w:spacing w:before="60" w:after="60" w:line="276" w:lineRule="auto"/>
              <w:rPr>
                <w:rFonts w:ascii="Arial" w:hAnsi="Arial" w:cs="Arial"/>
                <w:b/>
                <w:szCs w:val="22"/>
              </w:rPr>
            </w:pPr>
            <w:r>
              <w:rPr>
                <w:rFonts w:ascii="Arial" w:hAnsi="Arial" w:cs="Arial"/>
                <w:b/>
                <w:lang w:bidi="en-US"/>
              </w:rPr>
              <w:t>Město Žďár nad Sázavou</w:t>
            </w:r>
          </w:p>
        </w:tc>
      </w:tr>
      <w:tr>
        <w:tc>
          <w:tcPr>
            <w:tcW w:w="4432" w:type="dxa"/>
          </w:tcPr>
          <w:p>
            <w:pPr>
              <w:widowControl w:val="0"/>
              <w:spacing w:before="60" w:after="60" w:line="276" w:lineRule="auto"/>
              <w:jc w:val="right"/>
              <w:rPr>
                <w:rFonts w:ascii="Arial" w:eastAsia="Calibri" w:hAnsi="Arial" w:cs="Arial"/>
                <w:szCs w:val="22"/>
              </w:rPr>
            </w:pPr>
            <w:r>
              <w:rPr>
                <w:rFonts w:ascii="Arial" w:hAnsi="Arial" w:cs="Arial"/>
              </w:rPr>
              <w:t>Sídlo:</w:t>
            </w:r>
          </w:p>
        </w:tc>
        <w:tc>
          <w:tcPr>
            <w:tcW w:w="5032" w:type="dxa"/>
          </w:tcPr>
          <w:p>
            <w:pPr>
              <w:widowControl w:val="0"/>
              <w:spacing w:before="60" w:after="60" w:line="276" w:lineRule="auto"/>
              <w:rPr>
                <w:rFonts w:ascii="Arial" w:hAnsi="Arial" w:cs="Arial"/>
                <w:szCs w:val="22"/>
              </w:rPr>
            </w:pPr>
            <w:r>
              <w:rPr>
                <w:rFonts w:ascii="Arial" w:hAnsi="Arial" w:cs="Arial"/>
                <w:lang w:bidi="en-US"/>
              </w:rPr>
              <w:t>Žižkova 227/1, 591 01 Žďár nad Sázavou</w:t>
            </w:r>
          </w:p>
        </w:tc>
      </w:tr>
      <w:tr>
        <w:tc>
          <w:tcPr>
            <w:tcW w:w="4432" w:type="dxa"/>
          </w:tcPr>
          <w:p>
            <w:pPr>
              <w:widowControl w:val="0"/>
              <w:spacing w:before="60" w:after="60" w:line="276" w:lineRule="auto"/>
              <w:jc w:val="right"/>
              <w:rPr>
                <w:rFonts w:ascii="Arial" w:eastAsia="Calibri" w:hAnsi="Arial" w:cs="Arial"/>
                <w:szCs w:val="22"/>
              </w:rPr>
            </w:pPr>
            <w:r>
              <w:rPr>
                <w:rFonts w:ascii="Arial" w:hAnsi="Arial" w:cs="Arial"/>
              </w:rPr>
              <w:t>IČO:</w:t>
            </w:r>
          </w:p>
        </w:tc>
        <w:tc>
          <w:tcPr>
            <w:tcW w:w="5032" w:type="dxa"/>
          </w:tcPr>
          <w:p>
            <w:pPr>
              <w:widowControl w:val="0"/>
              <w:spacing w:before="60" w:after="60" w:line="276" w:lineRule="auto"/>
              <w:rPr>
                <w:rFonts w:ascii="Arial" w:eastAsia="Calibri" w:hAnsi="Arial" w:cs="Arial"/>
                <w:szCs w:val="22"/>
              </w:rPr>
            </w:pPr>
            <w:r>
              <w:rPr>
                <w:rFonts w:ascii="Arial" w:hAnsi="Arial" w:cs="Arial"/>
                <w:lang w:bidi="en-US"/>
              </w:rPr>
              <w:t>00295841</w:t>
            </w:r>
          </w:p>
        </w:tc>
      </w:tr>
      <w:tr>
        <w:tc>
          <w:tcPr>
            <w:tcW w:w="4432" w:type="dxa"/>
          </w:tcPr>
          <w:p>
            <w:pPr>
              <w:widowControl w:val="0"/>
              <w:spacing w:before="60" w:after="60" w:line="276" w:lineRule="auto"/>
              <w:jc w:val="right"/>
              <w:rPr>
                <w:rFonts w:ascii="Arial" w:eastAsia="Calibri" w:hAnsi="Arial" w:cs="Arial"/>
                <w:szCs w:val="22"/>
              </w:rPr>
            </w:pPr>
            <w:r>
              <w:rPr>
                <w:rFonts w:ascii="Arial" w:hAnsi="Arial" w:cs="Arial"/>
              </w:rPr>
              <w:t>Zastoupen:</w:t>
            </w:r>
          </w:p>
        </w:tc>
        <w:tc>
          <w:tcPr>
            <w:tcW w:w="5032" w:type="dxa"/>
          </w:tcPr>
          <w:p>
            <w:pPr>
              <w:widowControl w:val="0"/>
              <w:spacing w:before="60" w:after="60" w:line="276" w:lineRule="auto"/>
              <w:rPr>
                <w:rFonts w:ascii="Arial" w:hAnsi="Arial" w:cs="Arial"/>
                <w:szCs w:val="22"/>
              </w:rPr>
            </w:pPr>
            <w:r>
              <w:rPr>
                <w:rFonts w:ascii="Arial" w:hAnsi="Arial" w:cs="Arial"/>
                <w:lang w:bidi="en-US"/>
              </w:rPr>
              <w:t>Ing. Martin Mrkos, ACCA, starosta</w:t>
            </w:r>
          </w:p>
        </w:tc>
      </w:tr>
    </w:tbl>
    <w:p>
      <w:pPr>
        <w:spacing w:before="240" w:after="240" w:line="276" w:lineRule="auto"/>
        <w:contextualSpacing/>
        <w:jc w:val="center"/>
        <w:rPr>
          <w:rFonts w:ascii="Arial" w:hAnsi="Arial" w:cs="Arial"/>
          <w:b/>
          <w:sz w:val="28"/>
        </w:rPr>
      </w:pPr>
    </w:p>
    <w:p>
      <w:pPr>
        <w:spacing w:before="240" w:after="240" w:line="276" w:lineRule="auto"/>
        <w:contextualSpacing/>
        <w:jc w:val="center"/>
        <w:rPr>
          <w:rFonts w:ascii="Arial" w:hAnsi="Arial" w:cs="Arial"/>
          <w:b/>
          <w:sz w:val="28"/>
        </w:rPr>
      </w:pPr>
    </w:p>
    <w:p>
      <w:pPr>
        <w:spacing w:before="240" w:after="240" w:line="276" w:lineRule="auto"/>
        <w:contextualSpacing/>
        <w:jc w:val="center"/>
        <w:rPr>
          <w:rFonts w:ascii="Arial" w:hAnsi="Arial" w:cs="Arial"/>
          <w:b/>
        </w:rPr>
      </w:pPr>
    </w:p>
    <w:p>
      <w:pPr>
        <w:widowControl w:val="0"/>
        <w:spacing w:after="120" w:line="276" w:lineRule="auto"/>
        <w:jc w:val="both"/>
        <w:rPr>
          <w:rFonts w:ascii="Arial" w:eastAsia="Calibri" w:hAnsi="Arial" w:cs="Arial"/>
        </w:rPr>
      </w:pPr>
      <w:r>
        <w:rPr>
          <w:rFonts w:ascii="Arial" w:eastAsia="Calibri" w:hAnsi="Arial" w:cs="Arial"/>
        </w:rPr>
        <w:t>Obchodní podmínky, které jsou zadavatelem předkládány ve formě tohoto návrhu smlouvy o vytvoření nových webových stránek města Žďár nad Sázavou (včetně technické podpory), jsou pro dodavatele závazné a musí být v plném rozsahu respektovány.</w:t>
      </w:r>
    </w:p>
    <w:p>
      <w:pPr>
        <w:widowControl w:val="0"/>
        <w:spacing w:after="120" w:line="276" w:lineRule="auto"/>
        <w:jc w:val="both"/>
        <w:rPr>
          <w:rFonts w:ascii="Arial" w:eastAsia="Calibri" w:hAnsi="Arial" w:cs="Arial"/>
        </w:rPr>
      </w:pPr>
      <w:r>
        <w:rPr>
          <w:rFonts w:ascii="Arial" w:eastAsia="Calibri" w:hAnsi="Arial" w:cs="Arial"/>
        </w:rPr>
        <w:t xml:space="preserve">Zadavatel </w:t>
      </w:r>
      <w:sdt>
        <w:sdtPr>
          <w:rPr>
            <w:rFonts w:ascii="Arial" w:hAnsi="Arial" w:cs="Arial"/>
            <w:u w:val="single"/>
          </w:rPr>
          <w:id w:val="1709370305"/>
          <w:placeholder>
            <w:docPart w:val="0A6F7B15569E7B4A865AC1766A71F1DA"/>
          </w:placeholder>
          <w:comboBox>
            <w:listItem w:value="Zvolte položku."/>
            <w:listItem w:displayText="vyžaduje" w:value="vyžaduje"/>
            <w:listItem w:displayText="nevyžaduje" w:value="nevyžaduje"/>
          </w:comboBox>
        </w:sdtPr>
        <w:sdtEndPr>
          <w:rPr>
            <w:u w:val="none"/>
          </w:rPr>
        </w:sdtEndPr>
        <w:sdtContent>
          <w:r>
            <w:rPr>
              <w:rFonts w:ascii="Arial" w:hAnsi="Arial" w:cs="Arial"/>
              <w:u w:val="single"/>
            </w:rPr>
            <w:t>vyžaduje</w:t>
          </w:r>
        </w:sdtContent>
      </w:sdt>
      <w:r>
        <w:rPr>
          <w:rFonts w:ascii="Arial" w:eastAsia="Calibri" w:hAnsi="Arial" w:cs="Arial"/>
          <w:bCs/>
        </w:rPr>
        <w:t xml:space="preserve">, aby byl </w:t>
      </w:r>
      <w:r>
        <w:rPr>
          <w:rFonts w:ascii="Arial" w:eastAsia="Calibri" w:hAnsi="Arial" w:cs="Arial"/>
          <w:bCs/>
          <w:color w:val="000000"/>
        </w:rPr>
        <w:t xml:space="preserve">návrh smlouvy předložen </w:t>
      </w:r>
      <w:r>
        <w:rPr>
          <w:rFonts w:ascii="Arial" w:eastAsia="Calibri" w:hAnsi="Arial" w:cs="Arial"/>
          <w:color w:val="000000"/>
        </w:rPr>
        <w:t>v nabídce.</w:t>
      </w:r>
      <w:r>
        <w:rPr>
          <w:rFonts w:ascii="Arial" w:eastAsia="Calibri" w:hAnsi="Arial" w:cs="Arial"/>
        </w:rPr>
        <w:t xml:space="preserve"> </w:t>
      </w:r>
    </w:p>
    <w:p>
      <w:pPr>
        <w:spacing w:line="276" w:lineRule="auto"/>
        <w:jc w:val="both"/>
        <w:rPr>
          <w:rFonts w:ascii="Arial" w:eastAsia="Calibri" w:hAnsi="Arial" w:cs="Arial"/>
        </w:rPr>
      </w:pPr>
      <w:r>
        <w:rPr>
          <w:rFonts w:ascii="Arial" w:eastAsia="Calibri" w:hAnsi="Arial" w:cs="Arial"/>
        </w:rPr>
        <w:t xml:space="preserve">Účastník výběrového řízení podáním nabídky projevuje svoji vůli k akceptaci veškerých obchodních podmínek tak, jak byly zadavatelem stanoveny v návrhu smlouvy. </w:t>
      </w:r>
    </w:p>
    <w:p>
      <w:pPr>
        <w:spacing w:line="276" w:lineRule="auto"/>
        <w:jc w:val="center"/>
        <w:rPr>
          <w:rFonts w:ascii="Arial" w:eastAsia="Calibri" w:hAnsi="Arial" w:cs="Arial"/>
        </w:rPr>
      </w:pPr>
    </w:p>
    <w:p>
      <w:pPr>
        <w:spacing w:line="276" w:lineRule="auto"/>
        <w:jc w:val="center"/>
        <w:rPr>
          <w:rFonts w:ascii="Arial" w:eastAsia="Calibri" w:hAnsi="Arial" w:cs="Arial"/>
        </w:rPr>
      </w:pPr>
    </w:p>
    <w:p>
      <w:pPr>
        <w:spacing w:line="276" w:lineRule="auto"/>
        <w:jc w:val="center"/>
        <w:rPr>
          <w:rFonts w:ascii="Arial" w:eastAsia="Calibri" w:hAnsi="Arial" w:cs="Arial"/>
        </w:rPr>
      </w:pPr>
    </w:p>
    <w:p>
      <w:pPr>
        <w:spacing w:line="276" w:lineRule="auto"/>
        <w:jc w:val="center"/>
        <w:rPr>
          <w:rFonts w:ascii="Arial" w:eastAsia="Calibri" w:hAnsi="Arial" w:cs="Arial"/>
        </w:rPr>
      </w:pPr>
    </w:p>
    <w:p>
      <w:pPr>
        <w:spacing w:line="276" w:lineRule="auto"/>
        <w:jc w:val="center"/>
        <w:rPr>
          <w:rFonts w:ascii="Arial" w:eastAsia="Calibri" w:hAnsi="Arial" w:cs="Arial"/>
        </w:rPr>
      </w:pPr>
    </w:p>
    <w:p>
      <w:pPr>
        <w:spacing w:line="276" w:lineRule="auto"/>
        <w:jc w:val="center"/>
        <w:rPr>
          <w:rFonts w:ascii="Arial" w:eastAsia="Calibri" w:hAnsi="Arial" w:cs="Arial"/>
        </w:rPr>
      </w:pPr>
    </w:p>
    <w:p>
      <w:pPr>
        <w:spacing w:line="276" w:lineRule="auto"/>
        <w:jc w:val="center"/>
        <w:rPr>
          <w:rFonts w:ascii="Arial" w:eastAsia="Calibri" w:hAnsi="Arial" w:cs="Arial"/>
        </w:rPr>
      </w:pPr>
    </w:p>
    <w:p>
      <w:pPr>
        <w:spacing w:line="276" w:lineRule="auto"/>
        <w:jc w:val="center"/>
        <w:rPr>
          <w:rFonts w:ascii="Arial" w:eastAsia="Calibri" w:hAnsi="Arial" w:cs="Arial"/>
        </w:rPr>
      </w:pPr>
    </w:p>
    <w:p>
      <w:pPr>
        <w:spacing w:line="276" w:lineRule="auto"/>
        <w:jc w:val="center"/>
        <w:rPr>
          <w:rFonts w:ascii="Arial" w:hAnsi="Arial" w:cs="Arial"/>
          <w:b/>
          <w:bCs/>
          <w:sz w:val="32"/>
          <w:szCs w:val="32"/>
        </w:rPr>
      </w:pPr>
    </w:p>
    <w:p>
      <w:pPr>
        <w:spacing w:line="276" w:lineRule="auto"/>
        <w:jc w:val="right"/>
        <w:rPr>
          <w:rFonts w:ascii="Arial" w:eastAsia="Calibri" w:hAnsi="Arial" w:cs="Arial"/>
          <w:i/>
          <w:iCs/>
          <w:color w:val="000000" w:themeColor="text1"/>
        </w:rPr>
      </w:pPr>
    </w:p>
    <w:p>
      <w:pPr>
        <w:spacing w:line="276" w:lineRule="auto"/>
        <w:jc w:val="right"/>
        <w:rPr>
          <w:rFonts w:ascii="Arial" w:eastAsia="Calibri" w:hAnsi="Arial" w:cs="Arial"/>
          <w:i/>
          <w:iCs/>
          <w:color w:val="000000" w:themeColor="text1"/>
        </w:rPr>
      </w:pPr>
    </w:p>
    <w:p>
      <w:pPr>
        <w:spacing w:line="276" w:lineRule="auto"/>
        <w:jc w:val="right"/>
        <w:rPr>
          <w:rFonts w:ascii="Arial" w:hAnsi="Arial" w:cs="Arial"/>
          <w:b/>
          <w:bCs/>
          <w:sz w:val="32"/>
          <w:szCs w:val="32"/>
        </w:rPr>
      </w:pPr>
      <w:r>
        <w:rPr>
          <w:rFonts w:ascii="Arial" w:eastAsia="Calibri" w:hAnsi="Arial" w:cs="Arial"/>
          <w:i/>
          <w:iCs/>
          <w:color w:val="000000" w:themeColor="text1"/>
        </w:rPr>
        <w:t>Číslo smlouvy Objednatele: [</w:t>
      </w:r>
      <w:r>
        <w:rPr>
          <w:rFonts w:ascii="Arial" w:eastAsia="Calibri" w:hAnsi="Arial" w:cs="Arial"/>
          <w:i/>
          <w:iCs/>
          <w:color w:val="000000" w:themeColor="text1"/>
          <w:highlight w:val="cyan"/>
        </w:rPr>
        <w:t>bude doplněno zadavatelem</w:t>
      </w:r>
      <w:r>
        <w:rPr>
          <w:rFonts w:ascii="Arial" w:eastAsia="Calibri" w:hAnsi="Arial" w:cs="Arial"/>
          <w:i/>
          <w:iCs/>
          <w:color w:val="000000" w:themeColor="text1"/>
        </w:rPr>
        <w:t>]</w:t>
      </w:r>
    </w:p>
    <w:p>
      <w:pPr>
        <w:spacing w:line="276" w:lineRule="auto"/>
        <w:jc w:val="center"/>
        <w:rPr>
          <w:rFonts w:ascii="Arial" w:hAnsi="Arial" w:cs="Arial"/>
          <w:b/>
          <w:bCs/>
          <w:sz w:val="32"/>
          <w:szCs w:val="32"/>
        </w:rPr>
      </w:pPr>
      <w:r>
        <w:rPr>
          <w:rFonts w:ascii="Arial" w:hAnsi="Arial" w:cs="Arial"/>
          <w:b/>
          <w:bCs/>
          <w:sz w:val="32"/>
          <w:szCs w:val="32"/>
        </w:rPr>
        <w:t>SMLOUVA O VYTVOŘENÍ NOVÝCH WEBOVÝCH STRÁNEK MĚSTA (VČETNĚ TECHNICKÉ PODPORY)</w:t>
      </w:r>
    </w:p>
    <w:p>
      <w:pPr>
        <w:spacing w:line="276" w:lineRule="auto"/>
        <w:jc w:val="center"/>
        <w:rPr>
          <w:rFonts w:ascii="Arial" w:hAnsi="Arial" w:cs="Arial"/>
        </w:rPr>
      </w:pPr>
      <w:r>
        <w:rPr>
          <w:rFonts w:ascii="Arial" w:hAnsi="Arial" w:cs="Arial"/>
        </w:rPr>
        <w:t>uzavřená ve smyslu § 2586 a násl. a § 1746 zákona č. 89/2012 Sb., občanského zákoníku, ve znění pozdějších předpisů, (dále jen „</w:t>
      </w:r>
      <w:r>
        <w:rPr>
          <w:rFonts w:ascii="Arial" w:hAnsi="Arial" w:cs="Arial"/>
          <w:b/>
          <w:bCs/>
        </w:rPr>
        <w:t>občanský zákoník</w:t>
      </w:r>
      <w:r>
        <w:rPr>
          <w:rFonts w:ascii="Arial" w:hAnsi="Arial" w:cs="Arial"/>
        </w:rPr>
        <w:t>“), mezi smluvními stranami, kterými jsou:</w:t>
      </w:r>
    </w:p>
    <w:p>
      <w:pPr>
        <w:pStyle w:val="Odstavecseseznamem"/>
        <w:spacing w:before="240" w:after="240" w:line="276" w:lineRule="auto"/>
        <w:ind w:left="0"/>
        <w:rPr>
          <w:rFonts w:ascii="Arial" w:hAnsi="Arial" w:cs="Arial"/>
          <w:b/>
          <w:color w:val="000000"/>
        </w:rPr>
      </w:pPr>
      <w:r>
        <w:rPr>
          <w:rFonts w:ascii="Arial" w:hAnsi="Arial" w:cs="Arial"/>
          <w:b/>
          <w:color w:val="000000"/>
        </w:rPr>
        <w:t>Objednatel</w:t>
      </w:r>
    </w:p>
    <w:p>
      <w:pPr>
        <w:pStyle w:val="Odstavecseseznamem"/>
        <w:spacing w:line="276" w:lineRule="auto"/>
        <w:ind w:left="0"/>
        <w:rPr>
          <w:rFonts w:ascii="Arial" w:hAnsi="Arial" w:cs="Arial"/>
          <w:b/>
          <w:color w:val="000000"/>
        </w:rPr>
      </w:pPr>
    </w:p>
    <w:p>
      <w:pPr>
        <w:pStyle w:val="Odstavecseseznamem"/>
        <w:spacing w:after="0" w:line="276" w:lineRule="auto"/>
        <w:ind w:left="0"/>
        <w:rPr>
          <w:rFonts w:ascii="Arial" w:hAnsi="Arial" w:cs="Arial"/>
          <w:b/>
          <w:color w:val="000000"/>
        </w:rPr>
      </w:pPr>
      <w:r>
        <w:rPr>
          <w:rFonts w:ascii="Arial" w:hAnsi="Arial" w:cs="Arial"/>
          <w:b/>
          <w:lang w:bidi="en-US"/>
        </w:rPr>
        <w:t>Název:</w:t>
      </w:r>
      <w:r>
        <w:rPr>
          <w:rFonts w:ascii="Arial" w:hAnsi="Arial" w:cs="Arial"/>
          <w:b/>
          <w:lang w:bidi="en-US"/>
        </w:rPr>
        <w:tab/>
      </w:r>
      <w:r>
        <w:rPr>
          <w:rFonts w:ascii="Arial" w:hAnsi="Arial" w:cs="Arial"/>
          <w:b/>
          <w:lang w:bidi="en-US"/>
        </w:rPr>
        <w:tab/>
      </w:r>
      <w:r>
        <w:rPr>
          <w:rFonts w:ascii="Arial" w:hAnsi="Arial" w:cs="Arial"/>
          <w:b/>
          <w:lang w:bidi="en-US"/>
        </w:rPr>
        <w:tab/>
      </w:r>
      <w:r>
        <w:rPr>
          <w:rFonts w:ascii="Arial" w:hAnsi="Arial" w:cs="Arial"/>
          <w:b/>
          <w:lang w:bidi="en-US"/>
        </w:rPr>
        <w:tab/>
        <w:t>Město Žďár nad Sázavou</w:t>
      </w:r>
    </w:p>
    <w:p>
      <w:pPr>
        <w:spacing w:after="0" w:line="276" w:lineRule="auto"/>
        <w:rPr>
          <w:rFonts w:ascii="Arial" w:hAnsi="Arial" w:cs="Arial"/>
          <w:bCs/>
          <w:color w:val="000000"/>
        </w:rPr>
      </w:pPr>
      <w:r>
        <w:rPr>
          <w:rFonts w:ascii="Arial" w:hAnsi="Arial" w:cs="Arial"/>
        </w:rPr>
        <w:t xml:space="preserve">Sídlo: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Cs/>
          <w:lang w:bidi="en-US"/>
        </w:rPr>
        <w:t>Žižkova 227/1, 591 01 Žďár nad Sázavou</w:t>
      </w:r>
    </w:p>
    <w:p>
      <w:pPr>
        <w:spacing w:after="0" w:line="276" w:lineRule="auto"/>
        <w:rPr>
          <w:rFonts w:ascii="Arial" w:hAnsi="Arial" w:cs="Arial"/>
          <w:color w:val="000000"/>
        </w:rPr>
      </w:pPr>
      <w:r>
        <w:rPr>
          <w:rFonts w:ascii="Arial" w:hAnsi="Arial" w:cs="Arial"/>
          <w:color w:val="000000"/>
        </w:rPr>
        <w:t xml:space="preserve">IČO: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lang w:bidi="en-US"/>
        </w:rPr>
        <w:t>00295841</w:t>
      </w:r>
    </w:p>
    <w:p>
      <w:pPr>
        <w:spacing w:after="0" w:line="276" w:lineRule="auto"/>
        <w:rPr>
          <w:rFonts w:ascii="Arial" w:hAnsi="Arial" w:cs="Arial"/>
          <w:color w:val="000000"/>
        </w:rPr>
      </w:pPr>
      <w:r>
        <w:rPr>
          <w:rFonts w:ascii="Arial" w:hAnsi="Arial" w:cs="Arial"/>
          <w:color w:val="000000"/>
        </w:rPr>
        <w:t xml:space="preserve">DIČ: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lang w:bidi="en-US"/>
        </w:rPr>
        <w:t>CZ00295841</w:t>
      </w:r>
    </w:p>
    <w:p>
      <w:pPr>
        <w:spacing w:after="0" w:line="276" w:lineRule="auto"/>
        <w:rPr>
          <w:rFonts w:ascii="Arial" w:hAnsi="Arial" w:cs="Arial"/>
          <w:lang w:bidi="en-US"/>
        </w:rPr>
      </w:pPr>
      <w:r>
        <w:rPr>
          <w:rFonts w:ascii="Arial" w:hAnsi="Arial" w:cs="Arial"/>
          <w:color w:val="000000"/>
        </w:rPr>
        <w:t xml:space="preserve">Bankovní spojení: </w:t>
      </w:r>
      <w:r>
        <w:rPr>
          <w:rFonts w:ascii="Arial" w:hAnsi="Arial" w:cs="Arial"/>
          <w:color w:val="000000"/>
        </w:rPr>
        <w:tab/>
      </w:r>
      <w:r>
        <w:rPr>
          <w:rFonts w:ascii="Arial" w:hAnsi="Arial" w:cs="Arial"/>
          <w:color w:val="000000"/>
        </w:rPr>
        <w:tab/>
      </w:r>
      <w:r>
        <w:rPr>
          <w:rFonts w:ascii="Arial" w:hAnsi="Arial" w:cs="Arial"/>
          <w:color w:val="000000"/>
        </w:rPr>
        <w:tab/>
      </w:r>
    </w:p>
    <w:p>
      <w:pPr>
        <w:spacing w:after="0" w:line="276" w:lineRule="auto"/>
        <w:ind w:left="3540" w:hanging="3540"/>
        <w:rPr>
          <w:rFonts w:ascii="Arial" w:hAnsi="Arial" w:cs="Arial"/>
          <w:color w:val="000000"/>
        </w:rPr>
      </w:pPr>
      <w:r>
        <w:rPr>
          <w:rFonts w:ascii="Arial" w:hAnsi="Arial" w:cs="Arial"/>
          <w:color w:val="000000"/>
        </w:rPr>
        <w:t>Zastoupený:</w:t>
      </w:r>
      <w:r>
        <w:rPr>
          <w:rFonts w:ascii="Arial" w:hAnsi="Arial" w:cs="Arial"/>
          <w:color w:val="000000"/>
        </w:rPr>
        <w:tab/>
        <w:t>M</w:t>
      </w:r>
      <w:r>
        <w:rPr>
          <w:rFonts w:ascii="Arial" w:hAnsi="Arial" w:cs="Arial"/>
          <w:lang w:bidi="en-US"/>
        </w:rPr>
        <w:t>gr. Petrem Sedlákem, vedoucím Odboru školství, kultury, sportu a marketingu</w:t>
      </w:r>
    </w:p>
    <w:p>
      <w:pPr>
        <w:spacing w:before="120" w:after="0" w:line="276" w:lineRule="auto"/>
        <w:rPr>
          <w:rFonts w:ascii="Arial" w:hAnsi="Arial" w:cs="Arial"/>
          <w:color w:val="000000"/>
        </w:rPr>
      </w:pPr>
      <w:r>
        <w:rPr>
          <w:rFonts w:ascii="Arial" w:hAnsi="Arial" w:cs="Arial"/>
          <w:color w:val="000000"/>
        </w:rPr>
        <w:t>Kontaktní osoba:</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lang w:bidi="en-US"/>
        </w:rPr>
        <w:t>Ing. Věra Strnadová, projektový manažer</w:t>
      </w:r>
    </w:p>
    <w:p>
      <w:pPr>
        <w:spacing w:after="0" w:line="240" w:lineRule="auto"/>
        <w:rPr>
          <w:rFonts w:ascii="Arial" w:hAnsi="Arial" w:cs="Arial"/>
          <w:color w:val="000000"/>
        </w:rPr>
      </w:pPr>
      <w:r>
        <w:rPr>
          <w:rFonts w:ascii="Arial" w:hAnsi="Arial" w:cs="Arial"/>
          <w:color w:val="000000"/>
        </w:rPr>
        <w:t xml:space="preserve">Kontakt: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eastAsia="Times New Roman" w:hAnsi="Arial" w:cs="Arial"/>
          <w:color w:val="000000"/>
          <w:lang w:eastAsia="cs-CZ"/>
        </w:rPr>
        <w:t xml:space="preserve">email: </w:t>
      </w:r>
      <w:r>
        <w:rPr>
          <w:rFonts w:ascii="Arial" w:hAnsi="Arial" w:cs="Arial"/>
          <w:lang w:bidi="en-US"/>
        </w:rPr>
        <w:t>vera.strnadova@zdarns.cz, telefon: 771 128 847</w:t>
      </w:r>
    </w:p>
    <w:p>
      <w:pPr>
        <w:spacing w:after="0" w:line="276" w:lineRule="auto"/>
        <w:rPr>
          <w:rFonts w:ascii="Arial" w:hAnsi="Arial" w:cs="Arial"/>
          <w:i/>
          <w:color w:val="000000"/>
        </w:rPr>
      </w:pPr>
    </w:p>
    <w:p>
      <w:pPr>
        <w:spacing w:line="276" w:lineRule="auto"/>
        <w:rPr>
          <w:rFonts w:ascii="Arial" w:hAnsi="Arial" w:cs="Arial"/>
          <w:color w:val="000000"/>
        </w:rPr>
      </w:pPr>
      <w:r>
        <w:rPr>
          <w:rFonts w:ascii="Arial" w:hAnsi="Arial" w:cs="Arial"/>
          <w:color w:val="000000"/>
        </w:rPr>
        <w:t>(dále jen „</w:t>
      </w:r>
      <w:r>
        <w:rPr>
          <w:rFonts w:ascii="Arial" w:hAnsi="Arial" w:cs="Arial"/>
          <w:b/>
          <w:color w:val="000000"/>
        </w:rPr>
        <w:t>Objednatel</w:t>
      </w:r>
      <w:r>
        <w:rPr>
          <w:rFonts w:ascii="Arial" w:hAnsi="Arial" w:cs="Arial"/>
          <w:color w:val="000000"/>
        </w:rPr>
        <w:t>“)</w:t>
      </w:r>
    </w:p>
    <w:p>
      <w:pPr>
        <w:spacing w:before="240" w:after="240" w:line="276" w:lineRule="auto"/>
        <w:rPr>
          <w:rFonts w:ascii="Arial" w:hAnsi="Arial" w:cs="Arial"/>
          <w:color w:val="000000"/>
        </w:rPr>
      </w:pPr>
      <w:r>
        <w:rPr>
          <w:rFonts w:ascii="Arial" w:hAnsi="Arial" w:cs="Arial"/>
          <w:color w:val="000000"/>
        </w:rPr>
        <w:t>a</w:t>
      </w:r>
    </w:p>
    <w:p>
      <w:pPr>
        <w:pStyle w:val="Odstavecseseznamem"/>
        <w:spacing w:before="240" w:after="240" w:line="276" w:lineRule="auto"/>
        <w:ind w:left="0"/>
        <w:rPr>
          <w:rFonts w:ascii="Arial" w:hAnsi="Arial" w:cs="Arial"/>
          <w:b/>
          <w:color w:val="000000"/>
        </w:rPr>
      </w:pPr>
      <w:r>
        <w:rPr>
          <w:rFonts w:ascii="Arial" w:hAnsi="Arial" w:cs="Arial"/>
          <w:b/>
          <w:color w:val="000000"/>
        </w:rPr>
        <w:t>Dodavatel</w:t>
      </w:r>
    </w:p>
    <w:p>
      <w:pPr>
        <w:pStyle w:val="Odstavecseseznamem"/>
        <w:spacing w:line="276" w:lineRule="auto"/>
        <w:ind w:left="0"/>
        <w:rPr>
          <w:rFonts w:ascii="Arial" w:hAnsi="Arial" w:cs="Arial"/>
          <w:b/>
          <w:color w:val="000000"/>
        </w:rPr>
      </w:pPr>
    </w:p>
    <w:p>
      <w:pPr>
        <w:pStyle w:val="Odstavecseseznamem"/>
        <w:spacing w:after="0" w:line="276" w:lineRule="auto"/>
        <w:ind w:left="0"/>
        <w:rPr>
          <w:rFonts w:ascii="Arial" w:hAnsi="Arial" w:cs="Arial"/>
          <w:b/>
          <w:color w:val="000000"/>
        </w:rPr>
      </w:pPr>
      <w:r>
        <w:rPr>
          <w:rFonts w:ascii="Arial" w:hAnsi="Arial" w:cs="Arial"/>
          <w:b/>
          <w:lang w:bidi="en-US"/>
        </w:rPr>
        <w:t>Název:</w:t>
      </w:r>
      <w:r>
        <w:rPr>
          <w:rFonts w:ascii="Arial" w:hAnsi="Arial" w:cs="Arial"/>
          <w:b/>
          <w:lang w:bidi="en-US"/>
        </w:rPr>
        <w:tab/>
      </w:r>
      <w:r>
        <w:rPr>
          <w:rFonts w:ascii="Arial" w:hAnsi="Arial" w:cs="Arial"/>
          <w:b/>
          <w:lang w:bidi="en-US"/>
        </w:rPr>
        <w:tab/>
      </w:r>
      <w:r>
        <w:rPr>
          <w:rFonts w:ascii="Arial" w:hAnsi="Arial" w:cs="Arial"/>
          <w:b/>
          <w:lang w:bidi="en-US"/>
        </w:rPr>
        <w:tab/>
      </w:r>
      <w:r>
        <w:rPr>
          <w:rFonts w:ascii="Arial" w:hAnsi="Arial" w:cs="Arial"/>
          <w:b/>
          <w:lang w:bidi="en-US"/>
        </w:rPr>
        <w:tab/>
      </w:r>
      <w:r>
        <w:rPr>
          <w:rFonts w:ascii="Arial" w:hAnsi="Arial" w:cs="Arial"/>
          <w:b/>
          <w:highlight w:val="yellow"/>
          <w:lang w:bidi="en-US"/>
        </w:rPr>
        <w:fldChar w:fldCharType="begin"/>
      </w:r>
      <w:r>
        <w:rPr>
          <w:rFonts w:ascii="Arial" w:hAnsi="Arial" w:cs="Arial"/>
          <w:b/>
          <w:highlight w:val="yellow"/>
          <w:lang w:bidi="en-US"/>
        </w:rPr>
        <w:instrText xml:space="preserve"> MACROBUTTON  AcceptAllConflictsInDoc "[doplní účastník]" </w:instrText>
      </w:r>
      <w:r>
        <w:rPr>
          <w:rFonts w:ascii="Arial" w:hAnsi="Arial" w:cs="Arial"/>
          <w:b/>
          <w:highlight w:val="yellow"/>
          <w:lang w:bidi="en-US"/>
        </w:rPr>
        <w:fldChar w:fldCharType="end"/>
      </w:r>
    </w:p>
    <w:p>
      <w:pPr>
        <w:spacing w:after="0" w:line="276" w:lineRule="auto"/>
        <w:rPr>
          <w:rFonts w:ascii="Arial" w:hAnsi="Arial" w:cs="Arial"/>
          <w:bCs/>
          <w:color w:val="000000"/>
        </w:rPr>
      </w:pPr>
      <w:r>
        <w:rPr>
          <w:rFonts w:ascii="Arial" w:hAnsi="Arial" w:cs="Arial"/>
        </w:rPr>
        <w:t xml:space="preserve">Sídlo: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bCs/>
          <w:highlight w:val="yellow"/>
          <w:lang w:bidi="en-US"/>
        </w:rPr>
        <w:fldChar w:fldCharType="begin"/>
      </w:r>
      <w:r>
        <w:rPr>
          <w:rFonts w:ascii="Arial" w:hAnsi="Arial" w:cs="Arial"/>
          <w:bCs/>
          <w:highlight w:val="yellow"/>
          <w:lang w:bidi="en-US"/>
        </w:rPr>
        <w:instrText xml:space="preserve"> MACROBUTTON  AcceptAllConflictsInDoc "[doplní účastník]" </w:instrText>
      </w:r>
      <w:r>
        <w:rPr>
          <w:rFonts w:ascii="Arial" w:hAnsi="Arial" w:cs="Arial"/>
          <w:bCs/>
          <w:highlight w:val="yellow"/>
          <w:lang w:bidi="en-US"/>
        </w:rPr>
        <w:fldChar w:fldCharType="end"/>
      </w:r>
    </w:p>
    <w:p>
      <w:pPr>
        <w:spacing w:after="0" w:line="276" w:lineRule="auto"/>
        <w:rPr>
          <w:rFonts w:ascii="Arial" w:hAnsi="Arial" w:cs="Arial"/>
          <w:color w:val="000000"/>
        </w:rPr>
      </w:pPr>
      <w:r>
        <w:rPr>
          <w:rFonts w:ascii="Arial" w:hAnsi="Arial" w:cs="Arial"/>
          <w:color w:val="000000"/>
        </w:rPr>
        <w:t xml:space="preserve">IČO: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bCs/>
          <w:highlight w:val="yellow"/>
          <w:lang w:bidi="en-US"/>
        </w:rPr>
        <w:fldChar w:fldCharType="begin"/>
      </w:r>
      <w:r>
        <w:rPr>
          <w:rFonts w:ascii="Arial" w:hAnsi="Arial" w:cs="Arial"/>
          <w:bCs/>
          <w:highlight w:val="yellow"/>
          <w:lang w:bidi="en-US"/>
        </w:rPr>
        <w:instrText xml:space="preserve"> MACROBUTTON  AcceptAllConflictsInDoc "[doplní účastník]" </w:instrText>
      </w:r>
      <w:r>
        <w:rPr>
          <w:rFonts w:ascii="Arial" w:hAnsi="Arial" w:cs="Arial"/>
          <w:bCs/>
          <w:highlight w:val="yellow"/>
          <w:lang w:bidi="en-US"/>
        </w:rPr>
        <w:fldChar w:fldCharType="end"/>
      </w:r>
    </w:p>
    <w:p>
      <w:pPr>
        <w:spacing w:after="0" w:line="276" w:lineRule="auto"/>
        <w:rPr>
          <w:rFonts w:ascii="Arial" w:hAnsi="Arial" w:cs="Arial"/>
          <w:color w:val="000000"/>
        </w:rPr>
      </w:pPr>
      <w:r>
        <w:rPr>
          <w:rFonts w:ascii="Arial" w:hAnsi="Arial" w:cs="Arial"/>
          <w:color w:val="000000"/>
        </w:rPr>
        <w:t xml:space="preserve">DIČ: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bCs/>
          <w:highlight w:val="yellow"/>
          <w:lang w:bidi="en-US"/>
        </w:rPr>
        <w:fldChar w:fldCharType="begin"/>
      </w:r>
      <w:r>
        <w:rPr>
          <w:rFonts w:ascii="Arial" w:hAnsi="Arial" w:cs="Arial"/>
          <w:bCs/>
          <w:highlight w:val="yellow"/>
          <w:lang w:bidi="en-US"/>
        </w:rPr>
        <w:instrText xml:space="preserve"> MACROBUTTON  AcceptAllConflictsInDoc "[doplní účastník]" </w:instrText>
      </w:r>
      <w:r>
        <w:rPr>
          <w:rFonts w:ascii="Arial" w:hAnsi="Arial" w:cs="Arial"/>
          <w:bCs/>
          <w:highlight w:val="yellow"/>
          <w:lang w:bidi="en-US"/>
        </w:rPr>
        <w:fldChar w:fldCharType="end"/>
      </w:r>
    </w:p>
    <w:p>
      <w:pPr>
        <w:spacing w:after="0" w:line="276" w:lineRule="auto"/>
        <w:rPr>
          <w:rFonts w:ascii="Arial" w:hAnsi="Arial" w:cs="Arial"/>
          <w:lang w:bidi="en-US"/>
        </w:rPr>
      </w:pPr>
      <w:r>
        <w:rPr>
          <w:rFonts w:ascii="Arial" w:hAnsi="Arial" w:cs="Arial"/>
          <w:color w:val="000000"/>
        </w:rPr>
        <w:t xml:space="preserve">Bankovní spojení: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bCs/>
          <w:highlight w:val="yellow"/>
          <w:lang w:bidi="en-US"/>
        </w:rPr>
        <w:fldChar w:fldCharType="begin"/>
      </w:r>
      <w:r>
        <w:rPr>
          <w:rFonts w:ascii="Arial" w:hAnsi="Arial" w:cs="Arial"/>
          <w:bCs/>
          <w:highlight w:val="yellow"/>
          <w:lang w:bidi="en-US"/>
        </w:rPr>
        <w:instrText xml:space="preserve"> MACROBUTTON  AcceptAllConflictsInDoc "[doplní účastník]" </w:instrText>
      </w:r>
      <w:r>
        <w:rPr>
          <w:rFonts w:ascii="Arial" w:hAnsi="Arial" w:cs="Arial"/>
          <w:bCs/>
          <w:highlight w:val="yellow"/>
          <w:lang w:bidi="en-US"/>
        </w:rPr>
        <w:fldChar w:fldCharType="end"/>
      </w:r>
    </w:p>
    <w:p>
      <w:pPr>
        <w:spacing w:after="0" w:line="276" w:lineRule="auto"/>
        <w:rPr>
          <w:rFonts w:ascii="Arial" w:hAnsi="Arial" w:cs="Arial"/>
          <w:color w:val="000000"/>
        </w:rPr>
      </w:pPr>
      <w:r>
        <w:rPr>
          <w:rFonts w:ascii="Arial" w:hAnsi="Arial" w:cs="Arial"/>
          <w:color w:val="000000"/>
        </w:rPr>
        <w:t>Zápis v obchodním rejstříku:</w:t>
      </w:r>
      <w:r>
        <w:rPr>
          <w:rFonts w:ascii="Arial" w:hAnsi="Arial" w:cs="Arial"/>
          <w:color w:val="000000"/>
        </w:rPr>
        <w:tab/>
      </w:r>
      <w:r>
        <w:rPr>
          <w:rFonts w:ascii="Arial" w:hAnsi="Arial" w:cs="Arial"/>
          <w:color w:val="000000"/>
        </w:rPr>
        <w:tab/>
      </w:r>
      <w:r>
        <w:rPr>
          <w:rFonts w:ascii="Arial" w:hAnsi="Arial" w:cs="Arial"/>
          <w:bCs/>
          <w:highlight w:val="yellow"/>
          <w:lang w:bidi="en-US"/>
        </w:rPr>
        <w:fldChar w:fldCharType="begin"/>
      </w:r>
      <w:r>
        <w:rPr>
          <w:rFonts w:ascii="Arial" w:hAnsi="Arial" w:cs="Arial"/>
          <w:bCs/>
          <w:highlight w:val="yellow"/>
          <w:lang w:bidi="en-US"/>
        </w:rPr>
        <w:instrText xml:space="preserve"> MACROBUTTON  AcceptAllConflictsInDoc "[doplní účastník]" </w:instrText>
      </w:r>
      <w:r>
        <w:rPr>
          <w:rFonts w:ascii="Arial" w:hAnsi="Arial" w:cs="Arial"/>
          <w:bCs/>
          <w:highlight w:val="yellow"/>
          <w:lang w:bidi="en-US"/>
        </w:rPr>
        <w:fldChar w:fldCharType="end"/>
      </w:r>
    </w:p>
    <w:p>
      <w:pPr>
        <w:spacing w:after="0" w:line="276" w:lineRule="auto"/>
        <w:rPr>
          <w:rFonts w:ascii="Arial" w:hAnsi="Arial" w:cs="Arial"/>
          <w:color w:val="000000"/>
        </w:rPr>
      </w:pPr>
      <w:r>
        <w:rPr>
          <w:rFonts w:ascii="Arial" w:hAnsi="Arial" w:cs="Arial"/>
          <w:color w:val="000000"/>
        </w:rPr>
        <w:t>Zastoupený:</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bCs/>
          <w:highlight w:val="yellow"/>
          <w:lang w:bidi="en-US"/>
        </w:rPr>
        <w:fldChar w:fldCharType="begin"/>
      </w:r>
      <w:r>
        <w:rPr>
          <w:rFonts w:ascii="Arial" w:hAnsi="Arial" w:cs="Arial"/>
          <w:bCs/>
          <w:highlight w:val="yellow"/>
          <w:lang w:bidi="en-US"/>
        </w:rPr>
        <w:instrText xml:space="preserve"> MACROBUTTON  AcceptAllConflictsInDoc "[doplní účastník]" </w:instrText>
      </w:r>
      <w:r>
        <w:rPr>
          <w:rFonts w:ascii="Arial" w:hAnsi="Arial" w:cs="Arial"/>
          <w:bCs/>
          <w:highlight w:val="yellow"/>
          <w:lang w:bidi="en-US"/>
        </w:rPr>
        <w:fldChar w:fldCharType="end"/>
      </w:r>
    </w:p>
    <w:p>
      <w:pPr>
        <w:spacing w:before="120" w:after="0" w:line="276" w:lineRule="auto"/>
        <w:rPr>
          <w:rFonts w:ascii="Arial" w:hAnsi="Arial" w:cs="Arial"/>
          <w:color w:val="000000"/>
        </w:rPr>
      </w:pPr>
      <w:r>
        <w:rPr>
          <w:rFonts w:ascii="Arial" w:hAnsi="Arial" w:cs="Arial"/>
          <w:color w:val="000000"/>
        </w:rPr>
        <w:t>Kontaktní osoba:</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bCs/>
          <w:highlight w:val="yellow"/>
          <w:lang w:bidi="en-US"/>
        </w:rPr>
        <w:fldChar w:fldCharType="begin"/>
      </w:r>
      <w:r>
        <w:rPr>
          <w:rFonts w:ascii="Arial" w:hAnsi="Arial" w:cs="Arial"/>
          <w:bCs/>
          <w:highlight w:val="yellow"/>
          <w:lang w:bidi="en-US"/>
        </w:rPr>
        <w:instrText xml:space="preserve"> MACROBUTTON  AcceptAllConflictsInDoc "[doplní účastník]" </w:instrText>
      </w:r>
      <w:r>
        <w:rPr>
          <w:rFonts w:ascii="Arial" w:hAnsi="Arial" w:cs="Arial"/>
          <w:bCs/>
          <w:highlight w:val="yellow"/>
          <w:lang w:bidi="en-US"/>
        </w:rPr>
        <w:fldChar w:fldCharType="end"/>
      </w:r>
    </w:p>
    <w:p>
      <w:pPr>
        <w:spacing w:after="0" w:line="276" w:lineRule="auto"/>
        <w:rPr>
          <w:rFonts w:ascii="Arial" w:hAnsi="Arial" w:cs="Arial"/>
          <w:bCs/>
          <w:lang w:bidi="en-US"/>
        </w:rPr>
      </w:pPr>
      <w:r>
        <w:rPr>
          <w:rFonts w:ascii="Arial" w:hAnsi="Arial" w:cs="Arial"/>
          <w:color w:val="000000"/>
        </w:rPr>
        <w:t xml:space="preserve">Telefonní spojení: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bCs/>
          <w:highlight w:val="yellow"/>
          <w:lang w:bidi="en-US"/>
        </w:rPr>
        <w:fldChar w:fldCharType="begin"/>
      </w:r>
      <w:r>
        <w:rPr>
          <w:rFonts w:ascii="Arial" w:hAnsi="Arial" w:cs="Arial"/>
          <w:bCs/>
          <w:highlight w:val="yellow"/>
          <w:lang w:bidi="en-US"/>
        </w:rPr>
        <w:instrText xml:space="preserve"> MACROBUTTON  AcceptAllConflictsInDoc "[doplní účastník]" </w:instrText>
      </w:r>
      <w:r>
        <w:rPr>
          <w:rFonts w:ascii="Arial" w:hAnsi="Arial" w:cs="Arial"/>
          <w:bCs/>
          <w:highlight w:val="yellow"/>
          <w:lang w:bidi="en-US"/>
        </w:rPr>
        <w:fldChar w:fldCharType="end"/>
      </w:r>
    </w:p>
    <w:p>
      <w:pPr>
        <w:spacing w:after="0" w:line="276" w:lineRule="auto"/>
        <w:rPr>
          <w:rFonts w:ascii="Arial" w:hAnsi="Arial" w:cs="Arial"/>
          <w:bCs/>
          <w:lang w:bidi="en-US"/>
        </w:rPr>
      </w:pPr>
      <w:r>
        <w:rPr>
          <w:rFonts w:ascii="Arial" w:hAnsi="Arial" w:cs="Arial"/>
          <w:color w:val="000000"/>
        </w:rPr>
        <w:t xml:space="preserve">E-mail: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bCs/>
          <w:highlight w:val="yellow"/>
          <w:lang w:bidi="en-US"/>
        </w:rPr>
        <w:fldChar w:fldCharType="begin"/>
      </w:r>
      <w:r>
        <w:rPr>
          <w:rFonts w:ascii="Arial" w:hAnsi="Arial" w:cs="Arial"/>
          <w:bCs/>
          <w:highlight w:val="yellow"/>
          <w:lang w:bidi="en-US"/>
        </w:rPr>
        <w:instrText xml:space="preserve"> MACROBUTTON  AcceptAllConflictsInDoc "[doplní účastník]" </w:instrText>
      </w:r>
      <w:r>
        <w:rPr>
          <w:rFonts w:ascii="Arial" w:hAnsi="Arial" w:cs="Arial"/>
          <w:bCs/>
          <w:highlight w:val="yellow"/>
          <w:lang w:bidi="en-US"/>
        </w:rPr>
        <w:fldChar w:fldCharType="end"/>
      </w:r>
    </w:p>
    <w:p>
      <w:pPr>
        <w:spacing w:after="0" w:line="276" w:lineRule="auto"/>
        <w:rPr>
          <w:rFonts w:ascii="Arial" w:hAnsi="Arial" w:cs="Arial"/>
          <w:bCs/>
          <w:lang w:bidi="en-US"/>
        </w:rPr>
      </w:pPr>
    </w:p>
    <w:p>
      <w:pPr>
        <w:spacing w:after="0" w:line="276" w:lineRule="auto"/>
        <w:jc w:val="both"/>
        <w:rPr>
          <w:rFonts w:ascii="Arial" w:hAnsi="Arial" w:cs="Arial"/>
          <w:bCs/>
          <w:lang w:bidi="en-US"/>
        </w:rPr>
      </w:pPr>
      <w:r>
        <w:rPr>
          <w:rFonts w:ascii="Arial" w:hAnsi="Arial" w:cs="Arial"/>
          <w:color w:val="000000"/>
        </w:rPr>
        <w:t>(dále jen „</w:t>
      </w:r>
      <w:r>
        <w:rPr>
          <w:rFonts w:ascii="Arial" w:hAnsi="Arial" w:cs="Arial"/>
          <w:b/>
          <w:color w:val="000000"/>
        </w:rPr>
        <w:t>Dodavatel“</w:t>
      </w:r>
      <w:r>
        <w:rPr>
          <w:rFonts w:ascii="Arial" w:hAnsi="Arial" w:cs="Arial"/>
          <w:color w:val="000000"/>
        </w:rPr>
        <w:t>; Dodavatel společně s Objednatelem dále také jako „</w:t>
      </w:r>
      <w:r>
        <w:rPr>
          <w:rFonts w:ascii="Arial" w:hAnsi="Arial" w:cs="Arial"/>
          <w:b/>
          <w:bCs/>
          <w:color w:val="000000"/>
        </w:rPr>
        <w:t>Smluvní strany</w:t>
      </w:r>
      <w:r>
        <w:rPr>
          <w:rFonts w:ascii="Arial" w:hAnsi="Arial" w:cs="Arial"/>
          <w:color w:val="000000"/>
        </w:rPr>
        <w:t>“)</w:t>
      </w:r>
    </w:p>
    <w:p>
      <w:pPr>
        <w:spacing w:line="276" w:lineRule="auto"/>
        <w:ind w:left="567"/>
        <w:rPr>
          <w:rFonts w:ascii="Arial" w:hAnsi="Arial" w:cs="Arial"/>
          <w:color w:val="000000"/>
        </w:rPr>
      </w:pPr>
    </w:p>
    <w:p>
      <w:pPr>
        <w:spacing w:line="276" w:lineRule="auto"/>
        <w:jc w:val="both"/>
        <w:rPr>
          <w:rFonts w:ascii="Arial" w:hAnsi="Arial" w:cs="Arial"/>
        </w:rPr>
      </w:pPr>
      <w:r>
        <w:rPr>
          <w:rFonts w:ascii="Arial" w:hAnsi="Arial" w:cs="Arial"/>
        </w:rPr>
        <w:t xml:space="preserve">Objednatel, jakožto zadavatel veřejné zakázky </w:t>
      </w:r>
      <w:r>
        <w:rPr>
          <w:rFonts w:ascii="Arial" w:eastAsia="Times New Roman" w:hAnsi="Arial" w:cs="Arial"/>
          <w:color w:val="000000"/>
          <w:lang w:eastAsia="cs-CZ"/>
        </w:rPr>
        <w:t xml:space="preserve">s názvem </w:t>
      </w:r>
      <w:r>
        <w:rPr>
          <w:rFonts w:ascii="Arial" w:hAnsi="Arial" w:cs="Arial"/>
          <w:b/>
          <w:bCs/>
          <w:color w:val="000000"/>
        </w:rPr>
        <w:t>Webové stránky města Žďár nad Sázavo</w:t>
      </w:r>
      <w:r>
        <w:rPr>
          <w:rFonts w:ascii="Arial" w:eastAsia="Times New Roman" w:hAnsi="Arial" w:cs="Arial"/>
          <w:b/>
          <w:bCs/>
          <w:color w:val="000000"/>
          <w:lang w:eastAsia="cs-CZ"/>
        </w:rPr>
        <w:t>u</w:t>
      </w:r>
      <w:r>
        <w:rPr>
          <w:rFonts w:ascii="Arial" w:hAnsi="Arial" w:cs="Arial"/>
          <w:i/>
        </w:rPr>
        <w:t xml:space="preserve"> </w:t>
      </w:r>
      <w:r>
        <w:rPr>
          <w:rFonts w:ascii="Arial" w:hAnsi="Arial" w:cs="Arial"/>
          <w:iCs/>
        </w:rPr>
        <w:t>(dále jen „</w:t>
      </w:r>
      <w:r>
        <w:rPr>
          <w:rFonts w:ascii="Arial" w:hAnsi="Arial" w:cs="Arial"/>
          <w:b/>
          <w:iCs/>
        </w:rPr>
        <w:t>Veřejná zakázka</w:t>
      </w:r>
      <w:r>
        <w:rPr>
          <w:rFonts w:ascii="Arial" w:hAnsi="Arial" w:cs="Arial"/>
          <w:iCs/>
        </w:rPr>
        <w:t>“)</w:t>
      </w:r>
      <w:r>
        <w:rPr>
          <w:rFonts w:ascii="Arial" w:hAnsi="Arial" w:cs="Arial"/>
        </w:rPr>
        <w:t xml:space="preserve"> zadávané </w:t>
      </w:r>
      <w:sdt>
        <w:sdtPr>
          <w:rPr>
            <w:rFonts w:ascii="Arial" w:hAnsi="Arial" w:cs="Arial"/>
          </w:rPr>
          <w:id w:val="-54016491"/>
          <w:placeholder>
            <w:docPart w:val="F1ED2629E063CB44BF7E0C0D7BE50C6C"/>
          </w:placeholder>
          <w:comboBox>
            <w:listItem w:value="Zvolte položku."/>
            <w:listItem w:displayText="v zadávacím řízení v souladu se zákonem" w:value="v zadávacím řízení v souladu se zákonem"/>
            <w:listItem w:displayText="ve výběrovém řízení mimo režim zákona" w:value="ve výběrovém řízení mimo režim zákona"/>
          </w:comboBox>
        </w:sdtPr>
        <w:sdtContent>
          <w:r>
            <w:rPr>
              <w:rFonts w:ascii="Arial" w:hAnsi="Arial" w:cs="Arial"/>
            </w:rPr>
            <w:t>ve výběrovém řízení mimo režim zákona</w:t>
          </w:r>
        </w:sdtContent>
      </w:sdt>
      <w:r>
        <w:rPr>
          <w:rFonts w:ascii="Arial" w:hAnsi="Arial" w:cs="Arial"/>
        </w:rPr>
        <w:t xml:space="preserve"> č. 134/2016 Sb., o zadávání veřejných zakázek, ve znění pozdějších předpisů (dále též „</w:t>
      </w:r>
      <w:r>
        <w:rPr>
          <w:rFonts w:ascii="Arial" w:hAnsi="Arial" w:cs="Arial"/>
          <w:b/>
          <w:bCs/>
        </w:rPr>
        <w:t>ZZVZ</w:t>
      </w:r>
      <w:r>
        <w:rPr>
          <w:rFonts w:ascii="Arial" w:hAnsi="Arial" w:cs="Arial"/>
        </w:rPr>
        <w:t xml:space="preserve">“), rozhodl o výběru Dodavatele ke splnění Veřejné zakázky. Dodavatel a Objednatel </w:t>
      </w:r>
      <w:r>
        <w:rPr>
          <w:rFonts w:ascii="Arial" w:hAnsi="Arial" w:cs="Arial"/>
        </w:rPr>
        <w:lastRenderedPageBreak/>
        <w:t xml:space="preserve">tak uzavírají níže uvedeného dne, měsíce a roku tuto smlouvu </w:t>
      </w:r>
      <w:r>
        <w:rPr>
          <w:rFonts w:ascii="Arial" w:eastAsia="Calibri" w:hAnsi="Arial" w:cs="Arial"/>
        </w:rPr>
        <w:t>o vytvoření a vývoji nových webových stránek</w:t>
      </w:r>
      <w:r>
        <w:rPr>
          <w:rFonts w:ascii="Arial" w:hAnsi="Arial" w:cs="Arial"/>
        </w:rPr>
        <w:t xml:space="preserve"> města Žďár nad Sázavou a poskytování technické podpory (dále jen „</w:t>
      </w:r>
      <w:r>
        <w:rPr>
          <w:rFonts w:ascii="Arial" w:hAnsi="Arial" w:cs="Arial"/>
          <w:b/>
        </w:rPr>
        <w:t>Smlouva</w:t>
      </w:r>
      <w:r>
        <w:rPr>
          <w:rFonts w:ascii="Arial" w:hAnsi="Arial" w:cs="Arial"/>
        </w:rPr>
        <w:t>“).</w:t>
      </w:r>
    </w:p>
    <w:p>
      <w:pPr>
        <w:pStyle w:val="Odstavecseseznamem"/>
        <w:keepNext/>
        <w:keepLines/>
        <w:numPr>
          <w:ilvl w:val="0"/>
          <w:numId w:val="2"/>
        </w:numPr>
        <w:suppressAutoHyphens w:val="0"/>
        <w:spacing w:before="240" w:after="240" w:line="276" w:lineRule="auto"/>
        <w:jc w:val="center"/>
        <w:outlineLvl w:val="0"/>
        <w:rPr>
          <w:rFonts w:ascii="Arial" w:eastAsia="Times New Roman" w:hAnsi="Arial" w:cs="Arial"/>
          <w:b/>
          <w:lang w:eastAsia="ar-SA"/>
        </w:rPr>
      </w:pPr>
      <w:bookmarkStart w:id="0" w:name="__RefHeading___Toc618_293221212"/>
      <w:bookmarkStart w:id="1" w:name="_Toc73341511"/>
      <w:bookmarkEnd w:id="0"/>
      <w:r>
        <w:rPr>
          <w:rFonts w:ascii="Arial" w:eastAsia="Times New Roman" w:hAnsi="Arial" w:cs="Arial"/>
          <w:b/>
          <w:lang w:eastAsia="ar-SA"/>
        </w:rPr>
        <w:t>ÚVODNÍ UJEDNÁNÍ A ÚČEL SMLOUVY</w:t>
      </w:r>
    </w:p>
    <w:p>
      <w:pPr>
        <w:numPr>
          <w:ilvl w:val="0"/>
          <w:numId w:val="1"/>
        </w:numPr>
        <w:suppressAutoHyphens w:val="0"/>
        <w:spacing w:before="240" w:after="240" w:line="276" w:lineRule="auto"/>
        <w:jc w:val="both"/>
        <w:rPr>
          <w:rFonts w:ascii="Arial" w:eastAsia="Times New Roman" w:hAnsi="Arial" w:cs="Arial"/>
          <w:u w:val="single"/>
          <w:lang w:eastAsia="cs-CZ"/>
        </w:rPr>
      </w:pPr>
      <w:r>
        <w:rPr>
          <w:rFonts w:ascii="Arial" w:eastAsia="Times New Roman" w:hAnsi="Arial" w:cs="Arial"/>
          <w:color w:val="000000"/>
          <w:lang w:eastAsia="cs-CZ"/>
        </w:rPr>
        <w:t xml:space="preserve">Smlouva je uzavřena na základě výsledků </w:t>
      </w:r>
      <w:sdt>
        <w:sdtPr>
          <w:rPr>
            <w:rFonts w:ascii="Arial" w:eastAsia="Times New Roman" w:hAnsi="Arial" w:cs="Arial"/>
            <w:lang w:eastAsia="cs-CZ"/>
          </w:rPr>
          <w:id w:val="-693310833"/>
          <w:placeholder>
            <w:docPart w:val="3683C3D2FCEC2E42BE4497ECFD5118A8"/>
          </w:placeholder>
          <w:comboBox>
            <w:listItem w:value="Zvolte položku."/>
            <w:listItem w:displayText="zadávacího řízení" w:value="zadávacího řízení"/>
            <w:listItem w:displayText="výběrového řízení" w:value="výběrového řízení"/>
          </w:comboBox>
        </w:sdtPr>
        <w:sdtContent>
          <w:r>
            <w:rPr>
              <w:rFonts w:ascii="Arial" w:eastAsia="Times New Roman" w:hAnsi="Arial" w:cs="Arial"/>
              <w:lang w:eastAsia="cs-CZ"/>
            </w:rPr>
            <w:t>výběrového řízení</w:t>
          </w:r>
        </w:sdtContent>
      </w:sdt>
      <w:r>
        <w:rPr>
          <w:rFonts w:ascii="Arial" w:eastAsia="Times New Roman" w:hAnsi="Arial" w:cs="Arial"/>
          <w:color w:val="000000"/>
          <w:lang w:eastAsia="cs-CZ"/>
        </w:rPr>
        <w:t xml:space="preserve"> (dále jen „</w:t>
      </w:r>
      <w:r>
        <w:rPr>
          <w:rFonts w:ascii="Arial" w:eastAsia="Times New Roman" w:hAnsi="Arial" w:cs="Arial"/>
          <w:b/>
          <w:iCs/>
          <w:color w:val="000000"/>
          <w:lang w:eastAsia="cs-CZ"/>
        </w:rPr>
        <w:t>Řízení veřejné zakázky</w:t>
      </w:r>
      <w:r>
        <w:rPr>
          <w:rFonts w:ascii="Arial" w:eastAsia="Times New Roman" w:hAnsi="Arial" w:cs="Arial"/>
          <w:color w:val="000000"/>
          <w:lang w:eastAsia="cs-CZ"/>
        </w:rPr>
        <w:t>“) Veřejné zakázky</w:t>
      </w:r>
      <w:r>
        <w:rPr>
          <w:rFonts w:ascii="Arial" w:eastAsia="Times New Roman" w:hAnsi="Arial" w:cs="Arial"/>
          <w:lang w:eastAsia="cs-CZ"/>
        </w:rPr>
        <w:t>. Jednotlivá ujednání Smlouvy tak budou vykládána v souladu se zadávacími podmínkami Veřejné zakázky a nabídkou Dodavatele podanou do Řízení veřejné zakázky (dále jen „</w:t>
      </w:r>
      <w:r>
        <w:rPr>
          <w:rFonts w:ascii="Arial" w:eastAsia="Times New Roman" w:hAnsi="Arial" w:cs="Arial"/>
          <w:b/>
          <w:bCs/>
          <w:lang w:eastAsia="cs-CZ"/>
        </w:rPr>
        <w:t>Nabídka dodavatele</w:t>
      </w:r>
      <w:r>
        <w:rPr>
          <w:rFonts w:ascii="Arial" w:eastAsia="Times New Roman" w:hAnsi="Arial" w:cs="Arial"/>
          <w:lang w:eastAsia="cs-CZ"/>
        </w:rPr>
        <w:t>“).</w:t>
      </w:r>
    </w:p>
    <w:p>
      <w:pPr>
        <w:numPr>
          <w:ilvl w:val="0"/>
          <w:numId w:val="1"/>
        </w:numPr>
        <w:suppressAutoHyphens w:val="0"/>
        <w:spacing w:before="240" w:after="240" w:line="276" w:lineRule="auto"/>
        <w:jc w:val="both"/>
        <w:rPr>
          <w:rFonts w:ascii="Arial" w:eastAsia="Times New Roman" w:hAnsi="Arial" w:cs="Arial"/>
          <w:u w:val="single"/>
          <w:lang w:eastAsia="cs-CZ"/>
        </w:rPr>
      </w:pPr>
      <w:r>
        <w:rPr>
          <w:rFonts w:ascii="Arial" w:hAnsi="Arial" w:cs="Arial"/>
        </w:rPr>
        <w:t>Dodavatel prohlašuje, že se náležitě seznámil se všemi podklady, které byly součástí zadávací dokumentace Veřejné zakázky a které stanovují požadavky na předmět plnění této Smlouvy, a že je odborně způsobilý ke splnění všech jeho závazků dle této Smlouvy.</w:t>
      </w:r>
    </w:p>
    <w:p>
      <w:pPr>
        <w:numPr>
          <w:ilvl w:val="0"/>
          <w:numId w:val="1"/>
        </w:numPr>
        <w:suppressAutoHyphens w:val="0"/>
        <w:spacing w:before="240" w:after="240" w:line="276" w:lineRule="auto"/>
        <w:jc w:val="both"/>
        <w:rPr>
          <w:rFonts w:ascii="Arial" w:eastAsia="Times New Roman" w:hAnsi="Arial" w:cs="Arial"/>
          <w:u w:val="single"/>
          <w:lang w:eastAsia="cs-CZ"/>
        </w:rPr>
      </w:pPr>
      <w:r>
        <w:rPr>
          <w:rFonts w:ascii="Arial" w:hAnsi="Arial" w:cs="Arial"/>
        </w:rPr>
        <w:t>Dodavatel prohlašuje, že je držitelem všech příslušných živnostenských a dalších oprávnění potřebných pro plnění této Smlouvy a má řádné vybavení, zkušenosti a schopnosti, aby řádně a včas a za sjednanou cenu provedl předmět této Smlouvy.</w:t>
      </w:r>
    </w:p>
    <w:p>
      <w:pPr>
        <w:numPr>
          <w:ilvl w:val="0"/>
          <w:numId w:val="1"/>
        </w:numPr>
        <w:suppressAutoHyphens w:val="0"/>
        <w:spacing w:before="240" w:after="240" w:line="276" w:lineRule="auto"/>
        <w:jc w:val="both"/>
        <w:rPr>
          <w:rFonts w:ascii="Arial" w:eastAsia="Times New Roman" w:hAnsi="Arial" w:cs="Arial"/>
          <w:u w:val="single"/>
          <w:lang w:eastAsia="cs-CZ"/>
        </w:rPr>
      </w:pPr>
      <w:r>
        <w:rPr>
          <w:rFonts w:ascii="Arial" w:hAnsi="Arial" w:cs="Arial"/>
        </w:rPr>
        <w:t>Dodavatel prohlašuje, že plnění svých závazků vyplývajících z této Smlouvy bude zajišťovat odbornými pracovníky s kvalifikací odpovídající předmětu Veřejné zakázky.</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Účelem této Smlouvy je vymezení práv a povinností Smluvních stran při vytvoření nových webových stránek Objednatele včetně jejich rozvoje podle specifikace a požadavků stanovených touto Smlouvou a její přílohou č. 1 (dále též „</w:t>
      </w:r>
      <w:r>
        <w:rPr>
          <w:rFonts w:ascii="Arial" w:hAnsi="Arial" w:cs="Arial"/>
          <w:b/>
          <w:bCs/>
        </w:rPr>
        <w:t>Nové webové stránky</w:t>
      </w:r>
      <w:r>
        <w:rPr>
          <w:rFonts w:ascii="Arial" w:hAnsi="Arial" w:cs="Arial"/>
        </w:rPr>
        <w:t>“) a zajištění provozu, technické a servisní podpory vytvořených, dodaných a vyvíjených Nových webových stránek.</w:t>
      </w:r>
    </w:p>
    <w:p>
      <w:pPr>
        <w:pStyle w:val="Odstavecseseznamem"/>
        <w:numPr>
          <w:ilvl w:val="0"/>
          <w:numId w:val="2"/>
        </w:numPr>
        <w:spacing w:before="240" w:after="240" w:line="276" w:lineRule="auto"/>
        <w:ind w:left="714" w:hanging="357"/>
        <w:contextualSpacing w:val="0"/>
        <w:jc w:val="center"/>
        <w:rPr>
          <w:rFonts w:ascii="Arial" w:hAnsi="Arial" w:cs="Arial"/>
          <w:b/>
          <w:bCs/>
        </w:rPr>
      </w:pPr>
      <w:r>
        <w:rPr>
          <w:rFonts w:ascii="Arial" w:hAnsi="Arial" w:cs="Arial"/>
          <w:b/>
          <w:bCs/>
        </w:rPr>
        <w:t>PŘEDMĚT SMLOUVY</w:t>
      </w:r>
    </w:p>
    <w:p>
      <w:pPr>
        <w:pStyle w:val="Odstavecseseznamem"/>
        <w:numPr>
          <w:ilvl w:val="0"/>
          <w:numId w:val="1"/>
        </w:numPr>
        <w:spacing w:before="240" w:after="240" w:line="276" w:lineRule="auto"/>
        <w:contextualSpacing w:val="0"/>
        <w:jc w:val="both"/>
        <w:rPr>
          <w:rFonts w:ascii="Arial" w:hAnsi="Arial" w:cs="Arial"/>
        </w:rPr>
      </w:pPr>
      <w:bookmarkStart w:id="2" w:name="__RefHeading___Toc620_293221212"/>
      <w:bookmarkEnd w:id="1"/>
      <w:bookmarkEnd w:id="2"/>
      <w:r>
        <w:rPr>
          <w:rFonts w:ascii="Arial" w:hAnsi="Arial" w:cs="Arial"/>
        </w:rPr>
        <w:t xml:space="preserve">Předmětem této Smlouvy je závazek Dodavatele </w:t>
      </w:r>
    </w:p>
    <w:p>
      <w:pPr>
        <w:pStyle w:val="Odstavecseseznamem"/>
        <w:numPr>
          <w:ilvl w:val="1"/>
          <w:numId w:val="1"/>
        </w:numPr>
        <w:spacing w:before="240" w:after="240" w:line="276" w:lineRule="auto"/>
        <w:ind w:left="1276" w:hanging="709"/>
        <w:contextualSpacing w:val="0"/>
        <w:jc w:val="both"/>
        <w:rPr>
          <w:rFonts w:ascii="Arial" w:hAnsi="Arial" w:cs="Arial"/>
        </w:rPr>
      </w:pPr>
      <w:bookmarkStart w:id="3" w:name="_Ref223338108"/>
      <w:r>
        <w:rPr>
          <w:rFonts w:ascii="Arial" w:hAnsi="Arial" w:cs="Arial"/>
        </w:rPr>
        <w:t>Dodat a implementovat Nové webové stránky ve věcném rozsahu a s technickými parametry dle Nabídky Dodavatele, této Smlouvy a její přílohy č. 1 (dále též „</w:t>
      </w:r>
      <w:r>
        <w:rPr>
          <w:rFonts w:ascii="Arial" w:hAnsi="Arial" w:cs="Arial"/>
          <w:b/>
          <w:bCs/>
        </w:rPr>
        <w:t>Část plnění Dodávka</w:t>
      </w:r>
      <w:r>
        <w:rPr>
          <w:rFonts w:ascii="Arial" w:hAnsi="Arial" w:cs="Arial"/>
        </w:rPr>
        <w:t>“). V rámci této části budou provedeny tyto činnosti:</w:t>
      </w:r>
      <w:bookmarkEnd w:id="3"/>
    </w:p>
    <w:p>
      <w:pPr>
        <w:pStyle w:val="Odstavecseseznamem"/>
        <w:numPr>
          <w:ilvl w:val="2"/>
          <w:numId w:val="1"/>
        </w:numPr>
        <w:spacing w:before="120" w:after="120" w:line="276" w:lineRule="auto"/>
        <w:contextualSpacing w:val="0"/>
        <w:jc w:val="both"/>
        <w:rPr>
          <w:rFonts w:ascii="Arial" w:hAnsi="Arial" w:cs="Arial"/>
        </w:rPr>
      </w:pPr>
      <w:bookmarkStart w:id="4" w:name="_Ref223313940"/>
      <w:bookmarkStart w:id="5" w:name="_Hlk223966373"/>
      <w:r>
        <w:rPr>
          <w:rFonts w:ascii="Arial" w:hAnsi="Arial" w:cs="Arial"/>
        </w:rPr>
        <w:t xml:space="preserve">zpracování úvodní analytické fáze projektu (tzv. </w:t>
      </w:r>
      <w:proofErr w:type="spellStart"/>
      <w:r>
        <w:rPr>
          <w:rFonts w:ascii="Arial" w:hAnsi="Arial" w:cs="Arial"/>
        </w:rPr>
        <w:t>discovery</w:t>
      </w:r>
      <w:proofErr w:type="spellEnd"/>
      <w:r>
        <w:rPr>
          <w:rFonts w:ascii="Arial" w:hAnsi="Arial" w:cs="Arial"/>
        </w:rPr>
        <w:t>) a předání jejího písemného výstupu,</w:t>
      </w:r>
      <w:bookmarkEnd w:id="4"/>
    </w:p>
    <w:p>
      <w:pPr>
        <w:pStyle w:val="Odstavecseseznamem"/>
        <w:numPr>
          <w:ilvl w:val="2"/>
          <w:numId w:val="1"/>
        </w:numPr>
        <w:spacing w:before="120" w:after="120" w:line="276" w:lineRule="auto"/>
        <w:contextualSpacing w:val="0"/>
        <w:jc w:val="both"/>
        <w:rPr>
          <w:rFonts w:ascii="Arial" w:hAnsi="Arial" w:cs="Arial"/>
        </w:rPr>
      </w:pPr>
      <w:bookmarkStart w:id="6" w:name="_Ref223314042"/>
      <w:r>
        <w:rPr>
          <w:rFonts w:ascii="Arial" w:hAnsi="Arial" w:cs="Arial"/>
        </w:rPr>
        <w:t>zpracování a předání návrhu technické a informační architektury Nových webových stránek,</w:t>
      </w:r>
      <w:bookmarkEnd w:id="6"/>
    </w:p>
    <w:p>
      <w:pPr>
        <w:pStyle w:val="Odstavecseseznamem"/>
        <w:numPr>
          <w:ilvl w:val="2"/>
          <w:numId w:val="1"/>
        </w:numPr>
        <w:spacing w:before="120" w:after="120" w:line="276" w:lineRule="auto"/>
        <w:contextualSpacing w:val="0"/>
        <w:jc w:val="both"/>
        <w:rPr>
          <w:rFonts w:ascii="Arial" w:hAnsi="Arial" w:cs="Arial"/>
        </w:rPr>
      </w:pPr>
      <w:bookmarkStart w:id="7" w:name="_Ref223314008"/>
      <w:r>
        <w:rPr>
          <w:rFonts w:ascii="Arial" w:hAnsi="Arial" w:cs="Arial"/>
        </w:rPr>
        <w:t>instalace a základní technické nastavení redakčního systému (dále také jako „</w:t>
      </w:r>
      <w:r>
        <w:rPr>
          <w:rFonts w:ascii="Arial" w:hAnsi="Arial" w:cs="Arial"/>
          <w:b/>
          <w:bCs/>
        </w:rPr>
        <w:t>CMS</w:t>
      </w:r>
      <w:r>
        <w:rPr>
          <w:rFonts w:ascii="Arial" w:hAnsi="Arial" w:cs="Arial"/>
        </w:rPr>
        <w:t xml:space="preserve">“) jako podkladu pro další vývoj Nových webových stránek </w:t>
      </w:r>
    </w:p>
    <w:p>
      <w:pPr>
        <w:pStyle w:val="Odstavecseseznamem"/>
        <w:numPr>
          <w:ilvl w:val="2"/>
          <w:numId w:val="1"/>
        </w:numPr>
        <w:spacing w:before="120" w:after="120" w:line="276" w:lineRule="auto"/>
        <w:contextualSpacing w:val="0"/>
        <w:jc w:val="both"/>
        <w:rPr>
          <w:rFonts w:ascii="Arial" w:hAnsi="Arial" w:cs="Arial"/>
        </w:rPr>
      </w:pPr>
      <w:bookmarkStart w:id="8" w:name="_Ref225432333"/>
      <w:r>
        <w:rPr>
          <w:rFonts w:ascii="Arial" w:hAnsi="Arial" w:cs="Arial"/>
        </w:rPr>
        <w:t xml:space="preserve">návrh, vývoj, implementace a předání </w:t>
      </w:r>
      <w:proofErr w:type="spellStart"/>
      <w:r>
        <w:rPr>
          <w:rFonts w:ascii="Arial" w:hAnsi="Arial" w:cs="Arial"/>
        </w:rPr>
        <w:t>backendové</w:t>
      </w:r>
      <w:proofErr w:type="spellEnd"/>
      <w:r>
        <w:rPr>
          <w:rFonts w:ascii="Arial" w:hAnsi="Arial" w:cs="Arial"/>
        </w:rPr>
        <w:t xml:space="preserve"> části Nových webových stránek, včetně zajištění integrací na externí systémy; tato fáze zahrnuje zejména vytvoření aplikační logiky, návrh a implementaci databázové vrstvy, nastavení správy uživatelských rolí a oprávnění, napojení na CMS a realizaci integrací na systémy třetích stran (zejména prostřednictvím API rozhraní), </w:t>
      </w:r>
      <w:r>
        <w:rPr>
          <w:rFonts w:ascii="Arial" w:hAnsi="Arial" w:cs="Arial"/>
        </w:rPr>
        <w:lastRenderedPageBreak/>
        <w:t>a to včetně jejich otestování a uvedení do stavu způsobilého pro navazující fáze vývoje,</w:t>
      </w:r>
      <w:bookmarkEnd w:id="8"/>
    </w:p>
    <w:p>
      <w:pPr>
        <w:pStyle w:val="Odstavecseseznamem"/>
        <w:numPr>
          <w:ilvl w:val="2"/>
          <w:numId w:val="1"/>
        </w:numPr>
        <w:spacing w:before="120" w:after="120" w:line="276" w:lineRule="auto"/>
        <w:contextualSpacing w:val="0"/>
        <w:jc w:val="both"/>
        <w:rPr>
          <w:rFonts w:ascii="Arial" w:hAnsi="Arial" w:cs="Arial"/>
        </w:rPr>
      </w:pPr>
      <w:bookmarkStart w:id="9" w:name="_Ref225432380"/>
      <w:r>
        <w:rPr>
          <w:rFonts w:ascii="Arial" w:hAnsi="Arial" w:cs="Arial"/>
        </w:rPr>
        <w:t>zpracování základního návrhu vizuálního a grafického systému Nových webových stránek (design systému) v rozsahu definujícím hlavní vizuální principy, typografii, barevnost, základní komponenty a pravidla jejich použití,</w:t>
      </w:r>
      <w:bookmarkEnd w:id="7"/>
      <w:bookmarkEnd w:id="9"/>
    </w:p>
    <w:p>
      <w:pPr>
        <w:pStyle w:val="Odstavecseseznamem"/>
        <w:numPr>
          <w:ilvl w:val="2"/>
          <w:numId w:val="1"/>
        </w:numPr>
        <w:spacing w:before="120" w:after="120" w:line="276" w:lineRule="auto"/>
        <w:contextualSpacing w:val="0"/>
        <w:jc w:val="both"/>
        <w:rPr>
          <w:rFonts w:ascii="Arial" w:hAnsi="Arial" w:cs="Arial"/>
        </w:rPr>
      </w:pPr>
      <w:bookmarkStart w:id="10" w:name="_Ref223314361"/>
      <w:r>
        <w:rPr>
          <w:rFonts w:ascii="Arial" w:hAnsi="Arial" w:cs="Arial"/>
        </w:rPr>
        <w:t>vypracování a předání migračního plánu převodu obsahu ze stávajících webových stránek do nového CMS (dále jen „</w:t>
      </w:r>
      <w:r>
        <w:rPr>
          <w:rFonts w:ascii="Arial" w:hAnsi="Arial" w:cs="Arial"/>
          <w:b/>
          <w:bCs/>
        </w:rPr>
        <w:t>Migrační plán</w:t>
      </w:r>
      <w:r>
        <w:rPr>
          <w:rFonts w:ascii="Arial" w:hAnsi="Arial" w:cs="Arial"/>
        </w:rPr>
        <w:t>“),</w:t>
      </w:r>
    </w:p>
    <w:p>
      <w:pPr>
        <w:pStyle w:val="Odstavecseseznamem"/>
        <w:numPr>
          <w:ilvl w:val="2"/>
          <w:numId w:val="1"/>
        </w:numPr>
        <w:spacing w:before="120" w:after="120" w:line="276" w:lineRule="auto"/>
        <w:contextualSpacing w:val="0"/>
        <w:jc w:val="both"/>
        <w:rPr>
          <w:rFonts w:ascii="Arial" w:hAnsi="Arial" w:cs="Arial"/>
        </w:rPr>
      </w:pPr>
      <w:bookmarkStart w:id="11" w:name="_Ref223314533"/>
      <w:bookmarkEnd w:id="10"/>
      <w:r>
        <w:rPr>
          <w:rFonts w:ascii="Arial" w:hAnsi="Arial" w:cs="Arial"/>
        </w:rPr>
        <w:t>provedení migrace obsahu ze stávajících webových stránek do nového CMS v souladu se schváleným migračním plánem (dále jen „</w:t>
      </w:r>
      <w:r>
        <w:rPr>
          <w:rFonts w:ascii="Arial" w:hAnsi="Arial" w:cs="Arial"/>
          <w:b/>
          <w:bCs/>
        </w:rPr>
        <w:t>Migrace</w:t>
      </w:r>
      <w:r>
        <w:rPr>
          <w:rFonts w:ascii="Arial" w:hAnsi="Arial" w:cs="Arial"/>
        </w:rPr>
        <w:t>“),</w:t>
      </w:r>
    </w:p>
    <w:p>
      <w:pPr>
        <w:pStyle w:val="Odstavecseseznamem"/>
        <w:numPr>
          <w:ilvl w:val="2"/>
          <w:numId w:val="1"/>
        </w:numPr>
        <w:spacing w:before="120" w:after="120" w:line="276" w:lineRule="auto"/>
        <w:contextualSpacing w:val="0"/>
        <w:jc w:val="both"/>
        <w:rPr>
          <w:rFonts w:ascii="Arial" w:hAnsi="Arial" w:cs="Arial"/>
        </w:rPr>
      </w:pPr>
      <w:bookmarkStart w:id="12" w:name="_Ref223363674"/>
      <w:r>
        <w:rPr>
          <w:rFonts w:ascii="Arial" w:hAnsi="Arial" w:cs="Arial"/>
        </w:rPr>
        <w:t>provedení komplexního testování Nových webových stránek; součástí této fáze je identifikace a odstranění zjištěných vad a nedostatků, ověření souladu s dohodnutými požadavky a předání výsledků testování Objednateli,</w:t>
      </w:r>
    </w:p>
    <w:p>
      <w:pPr>
        <w:pStyle w:val="Odstavecseseznamem"/>
        <w:numPr>
          <w:ilvl w:val="2"/>
          <w:numId w:val="1"/>
        </w:numPr>
        <w:spacing w:before="120" w:after="120" w:line="276" w:lineRule="auto"/>
        <w:contextualSpacing w:val="0"/>
        <w:jc w:val="both"/>
        <w:rPr>
          <w:rFonts w:ascii="Arial" w:hAnsi="Arial" w:cs="Arial"/>
        </w:rPr>
      </w:pPr>
      <w:bookmarkStart w:id="13" w:name="_Ref225342437"/>
      <w:r>
        <w:rPr>
          <w:rFonts w:ascii="Arial" w:hAnsi="Arial" w:cs="Arial"/>
        </w:rPr>
        <w:t>provedení školení Objednatelem určených osob v rozsahu: tříhodinové školení pro 15-20 osob v roli editor, tříhodinové školení pro 30-40 osob v roli redaktor, tříhodinové školení pro 4 osoby v roli administrátor,</w:t>
      </w:r>
      <w:bookmarkEnd w:id="12"/>
      <w:bookmarkEnd w:id="13"/>
    </w:p>
    <w:p>
      <w:pPr>
        <w:pStyle w:val="Odstavecseseznamem"/>
        <w:numPr>
          <w:ilvl w:val="2"/>
          <w:numId w:val="1"/>
        </w:numPr>
        <w:spacing w:before="120" w:after="120" w:line="276" w:lineRule="auto"/>
        <w:contextualSpacing w:val="0"/>
        <w:jc w:val="both"/>
        <w:rPr>
          <w:rFonts w:ascii="Arial" w:hAnsi="Arial" w:cs="Arial"/>
        </w:rPr>
      </w:pPr>
      <w:bookmarkStart w:id="14" w:name="_Ref223363680"/>
      <w:r>
        <w:rPr>
          <w:rFonts w:ascii="Arial" w:hAnsi="Arial" w:cs="Arial"/>
        </w:rPr>
        <w:t>předání veškeré další související dokumentace.</w:t>
      </w:r>
      <w:bookmarkEnd w:id="11"/>
      <w:bookmarkEnd w:id="14"/>
      <w:r>
        <w:rPr>
          <w:rFonts w:ascii="Arial" w:hAnsi="Arial" w:cs="Arial"/>
        </w:rPr>
        <w:t xml:space="preserve"> </w:t>
      </w:r>
    </w:p>
    <w:bookmarkEnd w:id="5"/>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rPr>
        <w:t>Provádět vývoj a rozvoj dodaných Nových webových stránek (dále též „</w:t>
      </w:r>
      <w:r>
        <w:rPr>
          <w:rFonts w:ascii="Arial" w:hAnsi="Arial" w:cs="Arial"/>
          <w:b/>
          <w:bCs/>
        </w:rPr>
        <w:t>Část plnění Vývoj</w:t>
      </w:r>
      <w:r>
        <w:rPr>
          <w:rFonts w:ascii="Arial" w:hAnsi="Arial" w:cs="Arial"/>
        </w:rPr>
        <w:t xml:space="preserve">“) v iterativním režimu na základě požadavků a priorit stanovených Objednatelem, a to do vyčerpání sjednaného finančního limitu pro tuto část plnění. V rámci této části budou provedeny zejména tyto činnosti: </w:t>
      </w:r>
    </w:p>
    <w:p>
      <w:pPr>
        <w:pStyle w:val="Odstavecseseznamem"/>
        <w:numPr>
          <w:ilvl w:val="2"/>
          <w:numId w:val="1"/>
        </w:numPr>
        <w:spacing w:before="120" w:after="120" w:line="276" w:lineRule="auto"/>
        <w:contextualSpacing w:val="0"/>
        <w:jc w:val="both"/>
        <w:rPr>
          <w:rFonts w:ascii="Arial" w:hAnsi="Arial" w:cs="Arial"/>
        </w:rPr>
      </w:pPr>
      <w:bookmarkStart w:id="15" w:name="_Hlk223966337"/>
      <w:r>
        <w:rPr>
          <w:rFonts w:ascii="Arial" w:hAnsi="Arial" w:cs="Arial"/>
        </w:rPr>
        <w:t xml:space="preserve">zpracování návrhu uživatelské zkušenosti (UX), zahrnující zejména tvorbu </w:t>
      </w:r>
      <w:proofErr w:type="spellStart"/>
      <w:r>
        <w:rPr>
          <w:rFonts w:ascii="Arial" w:hAnsi="Arial" w:cs="Arial"/>
        </w:rPr>
        <w:t>wireframů</w:t>
      </w:r>
      <w:proofErr w:type="spellEnd"/>
      <w:r>
        <w:rPr>
          <w:rFonts w:ascii="Arial" w:hAnsi="Arial" w:cs="Arial"/>
        </w:rPr>
        <w:t xml:space="preserve"> a interaktivních prototypů Nových webových stránek,</w:t>
      </w:r>
    </w:p>
    <w:p>
      <w:pPr>
        <w:pStyle w:val="Odstavecseseznamem"/>
        <w:numPr>
          <w:ilvl w:val="2"/>
          <w:numId w:val="1"/>
        </w:numPr>
        <w:spacing w:before="120" w:after="120" w:line="276" w:lineRule="auto"/>
        <w:contextualSpacing w:val="0"/>
        <w:jc w:val="both"/>
        <w:rPr>
          <w:rFonts w:ascii="Arial" w:hAnsi="Arial" w:cs="Arial"/>
        </w:rPr>
      </w:pPr>
      <w:bookmarkStart w:id="16" w:name="_Ref223313995"/>
      <w:r>
        <w:rPr>
          <w:rFonts w:ascii="Arial" w:hAnsi="Arial" w:cs="Arial"/>
        </w:rPr>
        <w:t>zpracování návrhu uživatelského rozhraní (UI), včetně definice vizuálního stylu a grafických komponent Nových webových stránek,</w:t>
      </w:r>
      <w:bookmarkEnd w:id="16"/>
    </w:p>
    <w:p>
      <w:pPr>
        <w:pStyle w:val="Odstavecseseznamem"/>
        <w:numPr>
          <w:ilvl w:val="2"/>
          <w:numId w:val="1"/>
        </w:numPr>
        <w:spacing w:before="120" w:after="120" w:line="276" w:lineRule="auto"/>
        <w:contextualSpacing w:val="0"/>
        <w:jc w:val="both"/>
        <w:rPr>
          <w:rFonts w:ascii="Arial" w:hAnsi="Arial" w:cs="Arial"/>
        </w:rPr>
      </w:pPr>
      <w:r>
        <w:rPr>
          <w:rFonts w:ascii="Arial" w:hAnsi="Arial" w:cs="Arial"/>
        </w:rPr>
        <w:t xml:space="preserve">realizace </w:t>
      </w:r>
      <w:proofErr w:type="spellStart"/>
      <w:r>
        <w:rPr>
          <w:rFonts w:ascii="Arial" w:hAnsi="Arial" w:cs="Arial"/>
        </w:rPr>
        <w:t>frontendové</w:t>
      </w:r>
      <w:proofErr w:type="spellEnd"/>
      <w:r>
        <w:rPr>
          <w:rFonts w:ascii="Arial" w:hAnsi="Arial" w:cs="Arial"/>
        </w:rPr>
        <w:t xml:space="preserve"> části Nových webových stránek, zahrnující implementaci uživatelského rozhraní a funkčních komponent v souladu se schváleným UX a UI návrhem</w:t>
      </w:r>
    </w:p>
    <w:p>
      <w:pPr>
        <w:pStyle w:val="Odstavecseseznamem"/>
        <w:numPr>
          <w:ilvl w:val="2"/>
          <w:numId w:val="1"/>
        </w:numPr>
        <w:spacing w:before="120" w:after="120" w:line="276" w:lineRule="auto"/>
        <w:contextualSpacing w:val="0"/>
        <w:jc w:val="both"/>
        <w:rPr>
          <w:rFonts w:ascii="Arial" w:hAnsi="Arial" w:cs="Arial"/>
        </w:rPr>
      </w:pPr>
      <w:r>
        <w:rPr>
          <w:rFonts w:ascii="Arial" w:hAnsi="Arial" w:cs="Arial"/>
        </w:rPr>
        <w:t>optimalizace struktury a modelu obsahu v CMS (</w:t>
      </w:r>
      <w:proofErr w:type="spellStart"/>
      <w:r>
        <w:rPr>
          <w:rFonts w:ascii="Arial" w:hAnsi="Arial" w:cs="Arial"/>
        </w:rPr>
        <w:t>content</w:t>
      </w:r>
      <w:proofErr w:type="spellEnd"/>
      <w:r>
        <w:rPr>
          <w:rFonts w:ascii="Arial" w:hAnsi="Arial" w:cs="Arial"/>
        </w:rPr>
        <w:t xml:space="preserve"> model optimalizace).,</w:t>
      </w:r>
    </w:p>
    <w:bookmarkEnd w:id="15"/>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rPr>
        <w:t>Poskytovat technickou podporu a provozní podporu (</w:t>
      </w:r>
      <w:proofErr w:type="spellStart"/>
      <w:r>
        <w:rPr>
          <w:rFonts w:ascii="Arial" w:hAnsi="Arial" w:cs="Arial"/>
        </w:rPr>
        <w:t>maintenance</w:t>
      </w:r>
      <w:proofErr w:type="spellEnd"/>
      <w:r>
        <w:rPr>
          <w:rFonts w:ascii="Arial" w:hAnsi="Arial" w:cs="Arial"/>
        </w:rPr>
        <w:t>) v rozsahu dle této Smlouvy a její přílohy č. 1 (dále též „</w:t>
      </w:r>
      <w:r>
        <w:rPr>
          <w:rFonts w:ascii="Arial" w:hAnsi="Arial" w:cs="Arial"/>
          <w:b/>
          <w:bCs/>
        </w:rPr>
        <w:t>Část plnění Provoz</w:t>
      </w:r>
      <w:r>
        <w:rPr>
          <w:rFonts w:ascii="Arial" w:hAnsi="Arial" w:cs="Arial"/>
        </w:rPr>
        <w:t>“).</w:t>
      </w:r>
    </w:p>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color w:val="000000"/>
        </w:rPr>
        <w:t>Poskytnout součinnost při ukončení poskytování závazků ze Smlouvy a přechodu na nového poskytovatele, včetně předání potřebné dokumentace, dat a dalších podkladů v rozsahu dle této Smlouvy (dále též „</w:t>
      </w:r>
      <w:r>
        <w:rPr>
          <w:rFonts w:ascii="Arial" w:hAnsi="Arial" w:cs="Arial"/>
          <w:b/>
          <w:bCs/>
          <w:color w:val="000000"/>
        </w:rPr>
        <w:t>Část plnění Exit</w:t>
      </w:r>
      <w:r>
        <w:rPr>
          <w:rFonts w:ascii="Arial" w:hAnsi="Arial" w:cs="Arial"/>
          <w:color w:val="000000"/>
        </w:rPr>
        <w:t>“ nebo „</w:t>
      </w:r>
      <w:r>
        <w:rPr>
          <w:rFonts w:ascii="Arial" w:hAnsi="Arial" w:cs="Arial"/>
          <w:b/>
          <w:bCs/>
          <w:color w:val="000000"/>
        </w:rPr>
        <w:t>Služby exitu</w:t>
      </w:r>
      <w:r>
        <w:rPr>
          <w:rFonts w:ascii="Arial" w:hAnsi="Arial" w:cs="Arial"/>
          <w:color w:val="000000"/>
        </w:rPr>
        <w:t>“)</w:t>
      </w:r>
    </w:p>
    <w:p>
      <w:pPr>
        <w:pStyle w:val="Odstavecseseznamem"/>
        <w:spacing w:before="240" w:after="240" w:line="276" w:lineRule="auto"/>
        <w:ind w:left="1276" w:hanging="709"/>
        <w:contextualSpacing w:val="0"/>
        <w:jc w:val="both"/>
        <w:rPr>
          <w:rFonts w:ascii="Arial" w:hAnsi="Arial" w:cs="Arial"/>
        </w:rPr>
      </w:pPr>
      <w:r>
        <w:rPr>
          <w:rFonts w:ascii="Arial" w:hAnsi="Arial" w:cs="Arial"/>
        </w:rPr>
        <w:t>(dále společně též jako „</w:t>
      </w:r>
      <w:r>
        <w:rPr>
          <w:rFonts w:ascii="Arial" w:hAnsi="Arial" w:cs="Arial"/>
          <w:b/>
          <w:bCs/>
        </w:rPr>
        <w:t>Předmět plnění</w:t>
      </w:r>
      <w:r>
        <w:rPr>
          <w:rFonts w:ascii="Arial" w:hAnsi="Arial" w:cs="Arial"/>
        </w:rPr>
        <w:t>“)</w:t>
      </w:r>
    </w:p>
    <w:p>
      <w:pPr>
        <w:spacing w:before="240" w:after="240" w:line="276" w:lineRule="auto"/>
        <w:ind w:left="567"/>
        <w:jc w:val="both"/>
        <w:rPr>
          <w:rFonts w:ascii="Arial" w:hAnsi="Arial" w:cs="Arial"/>
        </w:rPr>
      </w:pPr>
      <w:r>
        <w:rPr>
          <w:rFonts w:ascii="Arial" w:hAnsi="Arial" w:cs="Arial"/>
        </w:rPr>
        <w:t>a závazek Objednatele zaplatit Dodavateli za plnění této Smlouvy sjednanou odměnu a poskytnout součinnost nezbytnou ke splnění závazků Dodavatele.</w:t>
      </w:r>
    </w:p>
    <w:p>
      <w:pPr>
        <w:pStyle w:val="Odstavecseseznamem"/>
        <w:numPr>
          <w:ilvl w:val="0"/>
          <w:numId w:val="1"/>
        </w:numPr>
        <w:spacing w:line="276" w:lineRule="auto"/>
        <w:contextualSpacing w:val="0"/>
        <w:jc w:val="both"/>
        <w:rPr>
          <w:rFonts w:ascii="Arial" w:hAnsi="Arial" w:cs="Arial"/>
        </w:rPr>
      </w:pPr>
      <w:bookmarkStart w:id="17" w:name="_Ref163557663"/>
      <w:r>
        <w:rPr>
          <w:rFonts w:ascii="Arial" w:hAnsi="Arial" w:cs="Arial"/>
        </w:rPr>
        <w:lastRenderedPageBreak/>
        <w:t>Podrobná specifikace Předmětu plnění je uvedena v příloze č. 1 této Smlouvy.</w:t>
      </w:r>
    </w:p>
    <w:bookmarkEnd w:id="17"/>
    <w:p>
      <w:pPr>
        <w:pStyle w:val="Odstavecseseznamem"/>
        <w:numPr>
          <w:ilvl w:val="0"/>
          <w:numId w:val="1"/>
        </w:numPr>
        <w:spacing w:line="276" w:lineRule="auto"/>
        <w:contextualSpacing w:val="0"/>
        <w:jc w:val="both"/>
        <w:rPr>
          <w:rFonts w:ascii="Arial" w:hAnsi="Arial" w:cs="Arial"/>
        </w:rPr>
      </w:pPr>
      <w:r>
        <w:rPr>
          <w:rFonts w:ascii="Arial" w:hAnsi="Arial" w:cs="Arial"/>
        </w:rPr>
        <w:t>Dodavatel se zavazuje provést na svůj náklad a na své nebezpečí všechna plnění a činnosti potřebné k včasnému a řádnému provedení Předmětu plnění. Provedením Předmětu plnění se rozumí zejména úplné, funkční a bezvadné provedení veškerých prací, dodávek, služeb a výkonů, poskytnutí licencí nezbytných pro užívání Nových webových stránek, řádné dokončení a předání Nových webových stránek k jejich užívání a dále migrace dat, zaškolení pracovníků Objednatele, případně třetích osob, vývoj a rozvoj dodaných Nových webových stránek a zajištění provozu, technické a servisní podpory vytvořených, dodaných a vyvíjených Nových webových stránek, to vše v souladu s požadavky této Smlouvy a jejích příloh.</w:t>
      </w:r>
    </w:p>
    <w:p>
      <w:pPr>
        <w:pStyle w:val="Odstavecseseznamem"/>
        <w:numPr>
          <w:ilvl w:val="0"/>
          <w:numId w:val="1"/>
        </w:numPr>
        <w:spacing w:line="276" w:lineRule="auto"/>
        <w:contextualSpacing w:val="0"/>
        <w:jc w:val="both"/>
        <w:rPr>
          <w:rFonts w:ascii="Arial" w:hAnsi="Arial" w:cs="Arial"/>
        </w:rPr>
      </w:pPr>
      <w:r>
        <w:rPr>
          <w:rFonts w:ascii="Arial" w:hAnsi="Arial" w:cs="Arial"/>
        </w:rPr>
        <w:t>Dodavatel prohlašuje, že se před uzavřením Smlouvy seznámil se základní strukturou stávajícího IT prostředí Objednatele, včetně jeho webových stránek, informačních systémů, platforem a dalších softwarových nástrojů používaných Objednatelem, které jsou vymezeny v příloze č. 1 Smlouvy.</w:t>
      </w:r>
    </w:p>
    <w:p>
      <w:pPr>
        <w:pStyle w:val="Odstavecseseznamem"/>
        <w:keepNext/>
        <w:numPr>
          <w:ilvl w:val="0"/>
          <w:numId w:val="2"/>
        </w:numPr>
        <w:spacing w:before="240" w:after="240" w:line="276" w:lineRule="auto"/>
        <w:ind w:left="714" w:hanging="357"/>
        <w:contextualSpacing w:val="0"/>
        <w:jc w:val="center"/>
        <w:rPr>
          <w:rFonts w:ascii="Arial" w:hAnsi="Arial" w:cs="Arial"/>
          <w:b/>
          <w:bCs/>
        </w:rPr>
      </w:pPr>
      <w:bookmarkStart w:id="18" w:name="_Ref164852066"/>
      <w:bookmarkStart w:id="19" w:name="_Ref223340982"/>
      <w:r>
        <w:rPr>
          <w:rFonts w:ascii="Arial" w:hAnsi="Arial" w:cs="Arial"/>
          <w:b/>
          <w:bCs/>
        </w:rPr>
        <w:t xml:space="preserve">PROVÁDĚNÍ A AKCEPTACE VÝSTUPŮ ČÁSTI PLNĚNÍ </w:t>
      </w:r>
      <w:bookmarkEnd w:id="18"/>
      <w:r>
        <w:rPr>
          <w:rFonts w:ascii="Arial" w:hAnsi="Arial" w:cs="Arial"/>
          <w:b/>
          <w:bCs/>
        </w:rPr>
        <w:t>DODÁVKA</w:t>
      </w:r>
      <w:bookmarkEnd w:id="19"/>
    </w:p>
    <w:p>
      <w:pPr>
        <w:pStyle w:val="Odstavecseseznamem"/>
        <w:keepNext/>
        <w:numPr>
          <w:ilvl w:val="0"/>
          <w:numId w:val="1"/>
        </w:numPr>
        <w:spacing w:before="240" w:after="240" w:line="276" w:lineRule="auto"/>
        <w:contextualSpacing w:val="0"/>
        <w:jc w:val="both"/>
        <w:rPr>
          <w:rFonts w:ascii="Arial" w:hAnsi="Arial" w:cs="Arial"/>
        </w:rPr>
      </w:pPr>
      <w:r>
        <w:rPr>
          <w:rFonts w:ascii="Arial" w:hAnsi="Arial" w:cs="Arial"/>
        </w:rPr>
        <w:t>Výstupy nebo jiné výsledky činnosti Dodavatele v rámci Části plnění Dodávka (dále jen „</w:t>
      </w:r>
      <w:r>
        <w:rPr>
          <w:rFonts w:ascii="Arial" w:hAnsi="Arial" w:cs="Arial"/>
          <w:b/>
          <w:bCs/>
        </w:rPr>
        <w:t>Výstupy</w:t>
      </w:r>
      <w:r>
        <w:rPr>
          <w:rFonts w:ascii="Arial" w:hAnsi="Arial" w:cs="Arial"/>
        </w:rPr>
        <w:t xml:space="preserve">“) budou Dodavatelem předány a Objednatelem převzaty postupně, resp. po fázích (případně jejich částech), které jsou vymezeny v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_Ref223338108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r>
        <w:rPr>
          <w:rFonts w:ascii="Arial" w:hAnsi="Arial" w:cs="Arial"/>
        </w:rPr>
        <w:t xml:space="preserve"> této Smlouvy a v příloze č. 1 této Smlouvy. </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Akceptační proces bude probíhat následovně:</w:t>
      </w:r>
    </w:p>
    <w:p>
      <w:pPr>
        <w:pStyle w:val="Odstavecseseznamem"/>
        <w:numPr>
          <w:ilvl w:val="1"/>
          <w:numId w:val="1"/>
        </w:numPr>
        <w:spacing w:before="240" w:after="240" w:line="276" w:lineRule="auto"/>
        <w:ind w:left="1276" w:hanging="709"/>
        <w:contextualSpacing w:val="0"/>
        <w:jc w:val="both"/>
        <w:rPr>
          <w:rFonts w:ascii="Arial" w:hAnsi="Arial" w:cs="Arial"/>
        </w:rPr>
      </w:pPr>
      <w:bookmarkStart w:id="20" w:name="_Ref223361187"/>
      <w:bookmarkStart w:id="21" w:name="_Ref163558083"/>
      <w:r>
        <w:rPr>
          <w:rFonts w:ascii="Arial" w:hAnsi="Arial" w:cs="Arial"/>
        </w:rPr>
        <w:t>Jednotlivé výstupy Části plnění Dodávka uvedené v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_Ref223338108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r>
        <w:rPr>
          <w:rFonts w:ascii="Arial" w:hAnsi="Arial" w:cs="Arial"/>
        </w:rPr>
        <w:t xml:space="preserve"> této Smlouvy budou Dodavatelem průběžně předávány Objednateli ve lhůtách dle odst. </w:t>
      </w:r>
      <w:r>
        <w:rPr>
          <w:rFonts w:ascii="Arial" w:hAnsi="Arial" w:cs="Arial"/>
        </w:rPr>
        <w:fldChar w:fldCharType="begin"/>
      </w:r>
      <w:r>
        <w:rPr>
          <w:rFonts w:ascii="Arial" w:hAnsi="Arial" w:cs="Arial"/>
        </w:rPr>
        <w:instrText xml:space="preserve"> REF _Ref165881843 \r \h </w:instrText>
      </w:r>
      <w:r>
        <w:rPr>
          <w:rFonts w:ascii="Arial" w:hAnsi="Arial" w:cs="Arial"/>
        </w:rPr>
      </w:r>
      <w:r>
        <w:rPr>
          <w:rFonts w:ascii="Arial" w:hAnsi="Arial" w:cs="Arial"/>
        </w:rPr>
        <w:fldChar w:fldCharType="separate"/>
      </w:r>
      <w:r>
        <w:rPr>
          <w:rFonts w:ascii="Arial" w:hAnsi="Arial" w:cs="Arial"/>
        </w:rPr>
        <w:t>38</w:t>
      </w:r>
      <w:r>
        <w:rPr>
          <w:rFonts w:ascii="Arial" w:hAnsi="Arial" w:cs="Arial"/>
        </w:rPr>
        <w:fldChar w:fldCharType="end"/>
      </w:r>
      <w:r>
        <w:rPr>
          <w:rFonts w:ascii="Arial" w:hAnsi="Arial" w:cs="Arial"/>
        </w:rPr>
        <w:t xml:space="preserve"> této Smlouvy. O předání a akceptaci jednotlivých výstupů bude sepsán příslušný předávací protokol obsahující alespoň náležitosti dle odst. </w:t>
      </w:r>
      <w:r>
        <w:rPr>
          <w:rFonts w:ascii="Arial" w:hAnsi="Arial" w:cs="Arial"/>
        </w:rPr>
        <w:fldChar w:fldCharType="begin"/>
      </w:r>
      <w:r>
        <w:rPr>
          <w:rFonts w:ascii="Arial" w:hAnsi="Arial" w:cs="Arial"/>
        </w:rPr>
        <w:instrText xml:space="preserve"> REF _Ref163741202 \r \h </w:instrText>
      </w:r>
      <w:r>
        <w:rPr>
          <w:rFonts w:ascii="Arial" w:hAnsi="Arial" w:cs="Arial"/>
        </w:rPr>
      </w:r>
      <w:r>
        <w:rPr>
          <w:rFonts w:ascii="Arial" w:hAnsi="Arial" w:cs="Arial"/>
        </w:rPr>
        <w:fldChar w:fldCharType="separate"/>
      </w:r>
      <w:r>
        <w:rPr>
          <w:rFonts w:ascii="Arial" w:hAnsi="Arial" w:cs="Arial"/>
        </w:rPr>
        <w:t>11.12</w:t>
      </w:r>
      <w:r>
        <w:rPr>
          <w:rFonts w:ascii="Arial" w:hAnsi="Arial" w:cs="Arial"/>
        </w:rPr>
        <w:fldChar w:fldCharType="end"/>
      </w:r>
      <w:r>
        <w:rPr>
          <w:rFonts w:ascii="Arial" w:hAnsi="Arial" w:cs="Arial"/>
        </w:rPr>
        <w:t xml:space="preserve"> této Smlouvy.</w:t>
      </w:r>
      <w:bookmarkEnd w:id="20"/>
      <w:r>
        <w:rPr>
          <w:rFonts w:ascii="Arial" w:hAnsi="Arial" w:cs="Arial"/>
        </w:rPr>
        <w:t xml:space="preserve"> </w:t>
      </w:r>
    </w:p>
    <w:p>
      <w:pPr>
        <w:pStyle w:val="Odstavecseseznamem"/>
        <w:numPr>
          <w:ilvl w:val="1"/>
          <w:numId w:val="1"/>
        </w:numPr>
        <w:spacing w:before="240" w:after="240" w:line="276" w:lineRule="auto"/>
        <w:ind w:left="1276" w:hanging="709"/>
        <w:contextualSpacing w:val="0"/>
        <w:jc w:val="both"/>
        <w:rPr>
          <w:rFonts w:ascii="Arial" w:hAnsi="Arial" w:cs="Arial"/>
        </w:rPr>
      </w:pPr>
      <w:bookmarkStart w:id="22" w:name="_Ref223363755"/>
      <w:r>
        <w:rPr>
          <w:rFonts w:ascii="Arial" w:hAnsi="Arial" w:cs="Arial"/>
        </w:rPr>
        <w:t>Po dokončení implementace Nových webových stránek a instalaci CMS vyzve Dodavatel Objednatele k zahájení pilotního provozu. Pilotní provoz slouží k ověření funkčnosti řešení v reálném provozním prostředí a k provedení migrace obsahu podle schváleného migračního plánu (dále jen „</w:t>
      </w:r>
      <w:r>
        <w:rPr>
          <w:rFonts w:ascii="Arial" w:hAnsi="Arial" w:cs="Arial"/>
          <w:b/>
          <w:bCs/>
        </w:rPr>
        <w:t>Pilotní provoz</w:t>
      </w:r>
      <w:r>
        <w:rPr>
          <w:rFonts w:ascii="Arial" w:hAnsi="Arial" w:cs="Arial"/>
        </w:rPr>
        <w:t>“).</w:t>
      </w:r>
      <w:bookmarkEnd w:id="22"/>
      <w:r>
        <w:rPr>
          <w:rFonts w:ascii="Arial" w:hAnsi="Arial" w:cs="Arial"/>
        </w:rPr>
        <w:t xml:space="preserve"> </w:t>
      </w:r>
    </w:p>
    <w:p>
      <w:pPr>
        <w:pStyle w:val="Odstavecseseznamem"/>
        <w:numPr>
          <w:ilvl w:val="1"/>
          <w:numId w:val="1"/>
        </w:numPr>
        <w:spacing w:before="240" w:after="240" w:line="276" w:lineRule="auto"/>
        <w:ind w:left="1276" w:hanging="709"/>
        <w:contextualSpacing w:val="0"/>
        <w:jc w:val="both"/>
        <w:rPr>
          <w:rFonts w:ascii="Arial" w:hAnsi="Arial" w:cs="Arial"/>
        </w:rPr>
      </w:pPr>
      <w:bookmarkStart w:id="23" w:name="_Ref223362545"/>
      <w:r>
        <w:rPr>
          <w:rFonts w:ascii="Arial" w:hAnsi="Arial" w:cs="Arial"/>
        </w:rPr>
        <w:t>Po dobu Pilotního provozu budou Nové webové stránky provozovány ve dvou oddělených běhových prostředích:</w:t>
      </w:r>
      <w:bookmarkEnd w:id="23"/>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testovacím prostředí určeném pro uživatelské testování, ověřování funkcionalit a prezentaci nových funkcí,</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produkčním prostředí určeném pro veřejný provoz.</w:t>
      </w:r>
    </w:p>
    <w:p>
      <w:pPr>
        <w:pStyle w:val="Odstavecseseznamem"/>
        <w:spacing w:before="240" w:after="240" w:line="276" w:lineRule="auto"/>
        <w:ind w:left="1276"/>
        <w:contextualSpacing w:val="0"/>
        <w:jc w:val="both"/>
        <w:rPr>
          <w:rFonts w:ascii="Arial" w:hAnsi="Arial" w:cs="Arial"/>
        </w:rPr>
      </w:pPr>
      <w:r>
        <w:rPr>
          <w:rFonts w:ascii="Arial" w:hAnsi="Arial" w:cs="Arial"/>
        </w:rPr>
        <w:t>Testovací prostředí musí být technicky odděleno od produkčního prostředí tak, aby testování nemělo negativní dopad na dostupnost, bezpečnost nebo integritu produkčního provozu.</w:t>
      </w:r>
    </w:p>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rPr>
        <w:t xml:space="preserve">Migrace obsahu bude provedena v rámci Pilotního provozu v souladu se schváleným Migračním plánem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_Ref223361187 \r \h </w:instrText>
      </w:r>
      <w:r>
        <w:rPr>
          <w:rFonts w:ascii="Arial" w:hAnsi="Arial" w:cs="Arial"/>
        </w:rPr>
      </w:r>
      <w:r>
        <w:rPr>
          <w:rFonts w:ascii="Arial" w:hAnsi="Arial" w:cs="Arial"/>
        </w:rPr>
        <w:fldChar w:fldCharType="separate"/>
      </w:r>
      <w:r>
        <w:rPr>
          <w:rFonts w:ascii="Arial" w:hAnsi="Arial" w:cs="Arial"/>
        </w:rPr>
        <w:t>11.1</w:t>
      </w:r>
      <w:r>
        <w:rPr>
          <w:rFonts w:ascii="Arial" w:hAnsi="Arial" w:cs="Arial"/>
        </w:rPr>
        <w:fldChar w:fldCharType="end"/>
      </w:r>
      <w:r>
        <w:rPr>
          <w:rFonts w:ascii="Arial" w:hAnsi="Arial" w:cs="Arial"/>
        </w:rPr>
        <w:t xml:space="preserve"> této Smlouvy. Migrace může </w:t>
      </w:r>
      <w:r>
        <w:rPr>
          <w:rFonts w:ascii="Arial" w:hAnsi="Arial" w:cs="Arial"/>
        </w:rPr>
        <w:lastRenderedPageBreak/>
        <w:t xml:space="preserve">být provedena jako úplná nebo částečná, v rozsahu stanoveném Migračním plánem. Dodavatel odpovídá za správnost, úplnost a strukturální integritu převodu dat v rozsahu vymezeném Migračním plánem. Migrační plán musí jednoznačně vymezit rozsah automatizované migrace, případný rozsah manuálního převodu a rozdělení odpovědnosti mezi Smluvní strany. </w:t>
      </w:r>
    </w:p>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rPr>
        <w:t>V rámci Pilotního provozu je Objednatel oprávněn ověřit zejména:</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úplnost převodu dat,</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správnost jejich struktury v CMS,</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funkčnost interních vazeb a integrací,</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integritu obsahu a příloh,</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soulad Migrace s Migračním plánem.</w:t>
      </w:r>
    </w:p>
    <w:p>
      <w:pPr>
        <w:spacing w:before="240" w:after="240" w:line="276" w:lineRule="auto"/>
        <w:ind w:left="1134"/>
        <w:jc w:val="both"/>
        <w:rPr>
          <w:rFonts w:ascii="Arial" w:hAnsi="Arial" w:cs="Arial"/>
        </w:rPr>
      </w:pPr>
      <w:r>
        <w:rPr>
          <w:rFonts w:ascii="Arial" w:hAnsi="Arial" w:cs="Arial"/>
        </w:rPr>
        <w:t>Vady migrace se považují za vady Části plnění Dodávka.</w:t>
      </w:r>
    </w:p>
    <w:p>
      <w:pPr>
        <w:pStyle w:val="Odstavecseseznamem"/>
        <w:numPr>
          <w:ilvl w:val="1"/>
          <w:numId w:val="1"/>
        </w:numPr>
        <w:spacing w:before="240" w:after="240" w:line="276" w:lineRule="auto"/>
        <w:ind w:left="1276" w:hanging="709"/>
        <w:contextualSpacing w:val="0"/>
        <w:jc w:val="both"/>
        <w:rPr>
          <w:rFonts w:ascii="Arial" w:hAnsi="Arial" w:cs="Arial"/>
        </w:rPr>
      </w:pPr>
      <w:bookmarkStart w:id="24" w:name="_Hlk223693836"/>
      <w:bookmarkStart w:id="25" w:name="_Ref223338803"/>
      <w:r>
        <w:rPr>
          <w:rFonts w:ascii="Arial" w:hAnsi="Arial" w:cs="Arial"/>
        </w:rPr>
        <w:t xml:space="preserve">Pilotní provoz bude trvat 30 kalendářních dnů ode dne jeho zahájení, nedohodnou-li se Smluvní strany jinak. </w:t>
      </w:r>
      <w:bookmarkEnd w:id="24"/>
      <w:r>
        <w:rPr>
          <w:rFonts w:ascii="Arial" w:hAnsi="Arial" w:cs="Arial"/>
        </w:rPr>
        <w:t xml:space="preserve">Po celou dobu Pilotního provozu až do spuštění produkční verze (go live) je Dodavatel povinen zajistit plnou dostupnost projektového týmu dle odst. </w:t>
      </w:r>
      <w:r>
        <w:rPr>
          <w:rFonts w:ascii="Arial" w:hAnsi="Arial" w:cs="Arial"/>
        </w:rPr>
        <w:fldChar w:fldCharType="begin"/>
      </w:r>
      <w:r>
        <w:rPr>
          <w:rFonts w:ascii="Arial" w:hAnsi="Arial" w:cs="Arial"/>
        </w:rPr>
        <w:instrText xml:space="preserve"> REF _Ref223348198 \r \h </w:instrText>
      </w:r>
      <w:r>
        <w:rPr>
          <w:rFonts w:ascii="Arial" w:hAnsi="Arial" w:cs="Arial"/>
        </w:rPr>
      </w:r>
      <w:r>
        <w:rPr>
          <w:rFonts w:ascii="Arial" w:hAnsi="Arial" w:cs="Arial"/>
        </w:rPr>
        <w:fldChar w:fldCharType="separate"/>
      </w:r>
      <w:r>
        <w:rPr>
          <w:rFonts w:ascii="Arial" w:hAnsi="Arial" w:cs="Arial"/>
        </w:rPr>
        <w:t>50</w:t>
      </w:r>
      <w:r>
        <w:rPr>
          <w:rFonts w:ascii="Arial" w:hAnsi="Arial" w:cs="Arial"/>
        </w:rPr>
        <w:fldChar w:fldCharType="end"/>
      </w:r>
      <w:r>
        <w:rPr>
          <w:rFonts w:ascii="Arial" w:hAnsi="Arial" w:cs="Arial"/>
        </w:rPr>
        <w:t xml:space="preserve"> této Smlouvy pro odstraňování vad, provádění úprav a poskytování součinnosti při testování.</w:t>
      </w:r>
      <w:bookmarkEnd w:id="25"/>
    </w:p>
    <w:p>
      <w:pPr>
        <w:pStyle w:val="Odstavecseseznamem"/>
        <w:numPr>
          <w:ilvl w:val="1"/>
          <w:numId w:val="1"/>
        </w:numPr>
        <w:spacing w:before="240" w:after="240" w:line="276" w:lineRule="auto"/>
        <w:ind w:left="1276" w:hanging="709"/>
        <w:contextualSpacing w:val="0"/>
        <w:jc w:val="both"/>
        <w:rPr>
          <w:rFonts w:ascii="Arial" w:hAnsi="Arial" w:cs="Arial"/>
        </w:rPr>
      </w:pPr>
      <w:bookmarkStart w:id="26" w:name="_Ref223351083"/>
      <w:r>
        <w:rPr>
          <w:rFonts w:ascii="Arial" w:hAnsi="Arial" w:cs="Arial"/>
        </w:rPr>
        <w:t>Zjistí-li se v průběhu Pilotního provozu jakékoli vady, je Dodavatel povinen je odstranit bez zbytečného odkladu, nejpozději však do 3 pracovních dnů, nestanoví-li Objednatel s ohledem na jejich povahu lhůtu delší.</w:t>
      </w:r>
      <w:bookmarkEnd w:id="26"/>
    </w:p>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rPr>
        <w:t>Za Podstatné vady se považují zejména vady, které:</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brání řádnému užívání Nových webových stránek,</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 xml:space="preserve">spočívají v neúplném převodu dat, ztrátě dat nebo jejich nesprávném přiřazení, nebo </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zásadně narušují funkčnost, bezpečnost nebo integritu obsahu,</w:t>
      </w:r>
    </w:p>
    <w:p>
      <w:pPr>
        <w:spacing w:before="240" w:after="240" w:line="276" w:lineRule="auto"/>
        <w:ind w:left="1134"/>
        <w:jc w:val="both"/>
        <w:rPr>
          <w:rFonts w:ascii="Arial" w:hAnsi="Arial" w:cs="Arial"/>
        </w:rPr>
      </w:pPr>
      <w:r>
        <w:rPr>
          <w:rFonts w:ascii="Arial" w:hAnsi="Arial" w:cs="Arial"/>
        </w:rPr>
        <w:t>(dále jen „</w:t>
      </w:r>
      <w:r>
        <w:rPr>
          <w:rFonts w:ascii="Arial" w:hAnsi="Arial" w:cs="Arial"/>
          <w:b/>
          <w:bCs/>
        </w:rPr>
        <w:t>Podstatné vady</w:t>
      </w:r>
      <w:r>
        <w:rPr>
          <w:rFonts w:ascii="Arial" w:hAnsi="Arial" w:cs="Arial"/>
        </w:rPr>
        <w:t>“).</w:t>
      </w:r>
    </w:p>
    <w:p>
      <w:pPr>
        <w:pStyle w:val="Odstavecseseznamem"/>
        <w:spacing w:before="240" w:after="240" w:line="276" w:lineRule="auto"/>
        <w:ind w:left="1276"/>
        <w:contextualSpacing w:val="0"/>
        <w:jc w:val="both"/>
        <w:rPr>
          <w:rFonts w:ascii="Arial" w:hAnsi="Arial" w:cs="Arial"/>
        </w:rPr>
      </w:pPr>
      <w:r>
        <w:rPr>
          <w:rFonts w:ascii="Arial" w:hAnsi="Arial" w:cs="Arial"/>
        </w:rPr>
        <w:t>Ostatní vady se považují za nepodstatné vady (dále jen „</w:t>
      </w:r>
      <w:r>
        <w:rPr>
          <w:rFonts w:ascii="Arial" w:hAnsi="Arial" w:cs="Arial"/>
          <w:b/>
          <w:bCs/>
        </w:rPr>
        <w:t>Nepodstatné vady</w:t>
      </w:r>
      <w:r>
        <w:rPr>
          <w:rFonts w:ascii="Arial" w:hAnsi="Arial" w:cs="Arial"/>
        </w:rPr>
        <w:t>“).</w:t>
      </w:r>
    </w:p>
    <w:p>
      <w:pPr>
        <w:pStyle w:val="Odstavecseseznamem"/>
        <w:numPr>
          <w:ilvl w:val="1"/>
          <w:numId w:val="1"/>
        </w:numPr>
        <w:spacing w:before="240" w:after="240" w:line="276" w:lineRule="auto"/>
        <w:ind w:left="1276" w:hanging="709"/>
        <w:contextualSpacing w:val="0"/>
        <w:jc w:val="both"/>
        <w:rPr>
          <w:rFonts w:ascii="Arial" w:hAnsi="Arial" w:cs="Arial"/>
        </w:rPr>
      </w:pPr>
      <w:bookmarkStart w:id="27" w:name="_Ref223361884"/>
      <w:bookmarkStart w:id="28" w:name="_Ref223339004"/>
      <w:r>
        <w:rPr>
          <w:rFonts w:ascii="Arial" w:hAnsi="Arial" w:cs="Arial"/>
        </w:rPr>
        <w:t xml:space="preserve">Pokud budou po skončení Pilotního provozu zjištěny Podstatné vady, je Dodavatel povinen je odstranit bez zbytečného odkladu, nejpozději však do 3 pracovních dnů, nestanoví-li Objednatel lhůtu delší. Po jejich odstranění a písemném potvrzení Objednatelem bude Pilotní provoz zahájen znovu v celé délce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_Ref223338803 \r \h </w:instrText>
      </w:r>
      <w:r>
        <w:rPr>
          <w:rFonts w:ascii="Arial" w:hAnsi="Arial" w:cs="Arial"/>
        </w:rPr>
      </w:r>
      <w:r>
        <w:rPr>
          <w:rFonts w:ascii="Arial" w:hAnsi="Arial" w:cs="Arial"/>
        </w:rPr>
        <w:fldChar w:fldCharType="separate"/>
      </w:r>
      <w:r>
        <w:rPr>
          <w:rFonts w:ascii="Arial" w:hAnsi="Arial" w:cs="Arial"/>
        </w:rPr>
        <w:t>11.6</w:t>
      </w:r>
      <w:r>
        <w:rPr>
          <w:rFonts w:ascii="Arial" w:hAnsi="Arial" w:cs="Arial"/>
        </w:rPr>
        <w:fldChar w:fldCharType="end"/>
      </w:r>
      <w:r>
        <w:rPr>
          <w:rFonts w:ascii="Arial" w:hAnsi="Arial" w:cs="Arial"/>
        </w:rPr>
        <w:t xml:space="preserve"> této Smlouvy.</w:t>
      </w:r>
      <w:bookmarkEnd w:id="27"/>
    </w:p>
    <w:p>
      <w:pPr>
        <w:pStyle w:val="Odstavecseseznamem"/>
        <w:numPr>
          <w:ilvl w:val="1"/>
          <w:numId w:val="1"/>
        </w:numPr>
        <w:spacing w:before="240" w:after="240" w:line="276" w:lineRule="auto"/>
        <w:ind w:left="1276" w:hanging="709"/>
        <w:contextualSpacing w:val="0"/>
        <w:jc w:val="both"/>
        <w:rPr>
          <w:rFonts w:ascii="Arial" w:hAnsi="Arial" w:cs="Arial"/>
        </w:rPr>
      </w:pPr>
      <w:bookmarkStart w:id="29" w:name="_Ref223365337"/>
      <w:r>
        <w:rPr>
          <w:rFonts w:ascii="Arial" w:hAnsi="Arial" w:cs="Arial"/>
        </w:rPr>
        <w:t xml:space="preserve">Pokud budou dodané Nové webové stránky po skončení Pilotního provozu vykazovat Nepodstatné vady, není Objednatel oprávněn odmítnout převzetí Části </w:t>
      </w:r>
      <w:r>
        <w:rPr>
          <w:rFonts w:ascii="Arial" w:hAnsi="Arial" w:cs="Arial"/>
        </w:rPr>
        <w:lastRenderedPageBreak/>
        <w:t>plnění Dodávka, pokud se Dodavatel zaváže k jejich odstranění v přiměřené lhůtě uvedené v předávacím protokolu.</w:t>
      </w:r>
      <w:bookmarkEnd w:id="28"/>
      <w:bookmarkEnd w:id="29"/>
      <w:r>
        <w:rPr>
          <w:rFonts w:ascii="Arial" w:hAnsi="Arial" w:cs="Arial"/>
        </w:rPr>
        <w:t xml:space="preserve"> Nedohodnou-li se Smluvní strany jinak, musí být Nepodstatné vady odstraněny nejpozději do 7 pracovních dnů.</w:t>
      </w:r>
    </w:p>
    <w:p>
      <w:pPr>
        <w:pStyle w:val="Odstavecseseznamem"/>
        <w:numPr>
          <w:ilvl w:val="1"/>
          <w:numId w:val="1"/>
        </w:numPr>
        <w:spacing w:before="240" w:after="240" w:line="276" w:lineRule="auto"/>
        <w:ind w:left="1276" w:hanging="709"/>
        <w:contextualSpacing w:val="0"/>
        <w:jc w:val="both"/>
        <w:rPr>
          <w:rFonts w:ascii="Arial" w:hAnsi="Arial" w:cs="Arial"/>
        </w:rPr>
      </w:pPr>
      <w:bookmarkStart w:id="30" w:name="_Ref223362582"/>
      <w:r>
        <w:rPr>
          <w:rFonts w:ascii="Arial" w:hAnsi="Arial" w:cs="Arial"/>
        </w:rPr>
        <w:t>Součástí řádného dokončení Části plnění Dodávka je:</w:t>
      </w:r>
      <w:bookmarkEnd w:id="30"/>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provedení školení vybraných rolí redakčního systému,</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předání uživatelské dokumentace pro role redaktor a editor,</w:t>
      </w:r>
    </w:p>
    <w:p>
      <w:pPr>
        <w:pStyle w:val="Odstavecseseznamem"/>
        <w:numPr>
          <w:ilvl w:val="2"/>
          <w:numId w:val="1"/>
        </w:numPr>
        <w:spacing w:before="240" w:after="240" w:line="276" w:lineRule="auto"/>
        <w:contextualSpacing w:val="0"/>
        <w:jc w:val="both"/>
        <w:rPr>
          <w:rFonts w:ascii="Arial" w:hAnsi="Arial" w:cs="Arial"/>
        </w:rPr>
      </w:pPr>
      <w:r>
        <w:rPr>
          <w:rFonts w:ascii="Arial" w:hAnsi="Arial" w:cs="Arial"/>
        </w:rPr>
        <w:t>předání administrátorské dokumentace obsahující popis běžné údržby, správy systému a administrátorských zásahů.</w:t>
      </w:r>
    </w:p>
    <w:p>
      <w:pPr>
        <w:pStyle w:val="Odstavecseseznamem"/>
        <w:spacing w:before="240" w:after="240" w:line="276" w:lineRule="auto"/>
        <w:ind w:left="1276"/>
        <w:contextualSpacing w:val="0"/>
        <w:jc w:val="both"/>
        <w:rPr>
          <w:rFonts w:ascii="Arial" w:hAnsi="Arial" w:cs="Arial"/>
        </w:rPr>
      </w:pPr>
      <w:r>
        <w:rPr>
          <w:rFonts w:ascii="Arial" w:hAnsi="Arial" w:cs="Arial"/>
        </w:rPr>
        <w:t>Neprovedení školení nebo nepředání dokumentace se považuje za Podstatnou vadu Části plnění Dodávka.</w:t>
      </w:r>
    </w:p>
    <w:p>
      <w:pPr>
        <w:pStyle w:val="Odstavecseseznamem"/>
        <w:numPr>
          <w:ilvl w:val="1"/>
          <w:numId w:val="1"/>
        </w:numPr>
        <w:spacing w:before="240" w:after="240" w:line="276" w:lineRule="auto"/>
        <w:ind w:left="1276" w:hanging="709"/>
        <w:contextualSpacing w:val="0"/>
        <w:jc w:val="both"/>
        <w:rPr>
          <w:rFonts w:ascii="Arial" w:hAnsi="Arial" w:cs="Arial"/>
        </w:rPr>
      </w:pPr>
      <w:bookmarkStart w:id="31" w:name="_Ref163741202"/>
      <w:r>
        <w:rPr>
          <w:rFonts w:ascii="Arial" w:hAnsi="Arial" w:cs="Arial"/>
        </w:rPr>
        <w:t>Výstupy se považují za převzaté a předané okamžikem podpisu předávacího protokolu. Předávací protokol musí obsahovat alespoň:</w:t>
      </w:r>
      <w:bookmarkEnd w:id="31"/>
    </w:p>
    <w:p>
      <w:pPr>
        <w:pStyle w:val="Odstavecseseznamem"/>
        <w:numPr>
          <w:ilvl w:val="2"/>
          <w:numId w:val="1"/>
        </w:numPr>
        <w:spacing w:before="240" w:after="240" w:line="276" w:lineRule="auto"/>
        <w:ind w:left="1985" w:hanging="709"/>
        <w:contextualSpacing w:val="0"/>
        <w:jc w:val="both"/>
        <w:rPr>
          <w:rFonts w:ascii="Arial" w:hAnsi="Arial" w:cs="Arial"/>
        </w:rPr>
      </w:pPr>
      <w:r>
        <w:rPr>
          <w:rFonts w:ascii="Arial" w:hAnsi="Arial" w:cs="Arial"/>
        </w:rPr>
        <w:t>identifikační údaje Smluvních stran,</w:t>
      </w:r>
    </w:p>
    <w:p>
      <w:pPr>
        <w:pStyle w:val="Odstavecseseznamem"/>
        <w:numPr>
          <w:ilvl w:val="2"/>
          <w:numId w:val="1"/>
        </w:numPr>
        <w:spacing w:before="240" w:after="240" w:line="276" w:lineRule="auto"/>
        <w:ind w:left="1985" w:hanging="709"/>
        <w:contextualSpacing w:val="0"/>
        <w:jc w:val="both"/>
        <w:rPr>
          <w:rFonts w:ascii="Arial" w:hAnsi="Arial" w:cs="Arial"/>
        </w:rPr>
      </w:pPr>
      <w:r>
        <w:rPr>
          <w:rFonts w:ascii="Arial" w:hAnsi="Arial" w:cs="Arial"/>
        </w:rPr>
        <w:t xml:space="preserve">identifikaci předávaného Výstupu, </w:t>
      </w:r>
    </w:p>
    <w:p>
      <w:pPr>
        <w:pStyle w:val="Odstavecseseznamem"/>
        <w:numPr>
          <w:ilvl w:val="2"/>
          <w:numId w:val="1"/>
        </w:numPr>
        <w:spacing w:before="240" w:after="240" w:line="276" w:lineRule="auto"/>
        <w:ind w:left="1985" w:hanging="709"/>
        <w:contextualSpacing w:val="0"/>
        <w:jc w:val="both"/>
        <w:rPr>
          <w:rFonts w:ascii="Arial" w:hAnsi="Arial" w:cs="Arial"/>
        </w:rPr>
      </w:pPr>
      <w:r>
        <w:rPr>
          <w:rFonts w:ascii="Arial" w:hAnsi="Arial" w:cs="Arial"/>
        </w:rPr>
        <w:t>prohlášení Objednatele, zda Výstup přejímá,</w:t>
      </w:r>
    </w:p>
    <w:p>
      <w:pPr>
        <w:pStyle w:val="Odstavecseseznamem"/>
        <w:numPr>
          <w:ilvl w:val="2"/>
          <w:numId w:val="1"/>
        </w:numPr>
        <w:spacing w:before="240" w:after="240" w:line="276" w:lineRule="auto"/>
        <w:ind w:left="1985" w:hanging="709"/>
        <w:contextualSpacing w:val="0"/>
        <w:jc w:val="both"/>
        <w:rPr>
          <w:rFonts w:ascii="Arial" w:hAnsi="Arial" w:cs="Arial"/>
        </w:rPr>
      </w:pPr>
      <w:r>
        <w:rPr>
          <w:rFonts w:ascii="Arial" w:hAnsi="Arial" w:cs="Arial"/>
        </w:rPr>
        <w:t xml:space="preserve">zhodnocení jakosti Výstupu, </w:t>
      </w:r>
    </w:p>
    <w:p>
      <w:pPr>
        <w:pStyle w:val="Odstavecseseznamem"/>
        <w:numPr>
          <w:ilvl w:val="2"/>
          <w:numId w:val="1"/>
        </w:numPr>
        <w:spacing w:before="240" w:after="240" w:line="276" w:lineRule="auto"/>
        <w:ind w:left="1985" w:hanging="709"/>
        <w:contextualSpacing w:val="0"/>
        <w:jc w:val="both"/>
        <w:rPr>
          <w:rFonts w:ascii="Arial" w:hAnsi="Arial" w:cs="Arial"/>
        </w:rPr>
      </w:pPr>
      <w:r>
        <w:rPr>
          <w:rFonts w:ascii="Arial" w:hAnsi="Arial" w:cs="Arial"/>
        </w:rPr>
        <w:t>případný soupis zjištěných Podstatných a Nepodstatných vad, vyjádření Dodavatele k vytčeným vadám a lhůty a opatření k jejich odstranění, a</w:t>
      </w:r>
    </w:p>
    <w:p>
      <w:pPr>
        <w:pStyle w:val="Odstavecseseznamem"/>
        <w:numPr>
          <w:ilvl w:val="2"/>
          <w:numId w:val="1"/>
        </w:numPr>
        <w:spacing w:before="240" w:after="240" w:line="276" w:lineRule="auto"/>
        <w:ind w:left="1985" w:hanging="709"/>
        <w:contextualSpacing w:val="0"/>
        <w:jc w:val="both"/>
        <w:rPr>
          <w:rFonts w:ascii="Arial" w:hAnsi="Arial" w:cs="Arial"/>
        </w:rPr>
      </w:pPr>
      <w:r>
        <w:rPr>
          <w:rFonts w:ascii="Arial" w:hAnsi="Arial" w:cs="Arial"/>
        </w:rPr>
        <w:t xml:space="preserve">soupis příloh. </w:t>
      </w:r>
    </w:p>
    <w:p>
      <w:pPr>
        <w:spacing w:before="240" w:after="240" w:line="276" w:lineRule="auto"/>
        <w:ind w:left="1276"/>
        <w:jc w:val="both"/>
        <w:rPr>
          <w:rFonts w:ascii="Arial" w:hAnsi="Arial" w:cs="Arial"/>
        </w:rPr>
      </w:pPr>
      <w:r>
        <w:rPr>
          <w:rFonts w:ascii="Arial" w:hAnsi="Arial" w:cs="Arial"/>
        </w:rPr>
        <w:t>Předávací protokol bude vyhotoven ve třech stejnopisech, z nichž jeden obdrží Dodavatel a dva Objednatel. Každý stejnopis bude podepsán oběma Smluvními stranami.</w:t>
      </w:r>
    </w:p>
    <w:p>
      <w:pPr>
        <w:pStyle w:val="Odstavecseseznamem"/>
        <w:numPr>
          <w:ilvl w:val="1"/>
          <w:numId w:val="1"/>
        </w:numPr>
        <w:spacing w:before="240" w:after="240" w:line="276" w:lineRule="auto"/>
        <w:ind w:left="1276" w:hanging="709"/>
        <w:contextualSpacing w:val="0"/>
        <w:jc w:val="both"/>
        <w:rPr>
          <w:rFonts w:ascii="Arial" w:hAnsi="Arial" w:cs="Arial"/>
        </w:rPr>
      </w:pPr>
      <w:bookmarkStart w:id="32" w:name="_Ref223362704"/>
      <w:r>
        <w:rPr>
          <w:rFonts w:ascii="Arial" w:hAnsi="Arial" w:cs="Arial"/>
        </w:rPr>
        <w:t xml:space="preserve">Část plnění Dodávka se považuje za řádně dokončenou, provedenou a předanou dnem podpisu předávacího protokolu bez zjištěných Podstatných vad k poslednímu Výstupu Části plnění Dodávka oběma Smluvními stranami. </w:t>
      </w:r>
      <w:bookmarkEnd w:id="32"/>
    </w:p>
    <w:p>
      <w:pPr>
        <w:pStyle w:val="Odstavecseseznamem"/>
        <w:numPr>
          <w:ilvl w:val="0"/>
          <w:numId w:val="1"/>
        </w:numPr>
        <w:spacing w:before="240" w:after="240" w:line="276" w:lineRule="auto"/>
        <w:contextualSpacing w:val="0"/>
        <w:jc w:val="both"/>
        <w:rPr>
          <w:rFonts w:ascii="Arial" w:hAnsi="Arial" w:cs="Arial"/>
        </w:rPr>
      </w:pPr>
      <w:bookmarkStart w:id="33" w:name="_heading=h.3rdcrjn" w:colFirst="0" w:colLast="0"/>
      <w:bookmarkStart w:id="34" w:name="_Hlk223704929"/>
      <w:bookmarkEnd w:id="21"/>
      <w:bookmarkEnd w:id="33"/>
      <w:r>
        <w:rPr>
          <w:rFonts w:ascii="Arial" w:hAnsi="Arial" w:cs="Arial"/>
        </w:rPr>
        <w:t>Veškerá dokumentace, která je součástí Výstupů, bude Dodavatelem Objednateli předána v originálech, a to v elektronické editovatelné podobě. Dodavatel předá provozní dokumentaci v rozsahu odpovídajícím požadavkům zákona č. 365/2000 Sb., o informačních systémech veřejné správy a o změně některých dalších zákonů, ve znění pozdějších předpisů.</w:t>
      </w:r>
    </w:p>
    <w:bookmarkEnd w:id="34"/>
    <w:p>
      <w:pPr>
        <w:pStyle w:val="Odstavecseseznamem"/>
        <w:numPr>
          <w:ilvl w:val="0"/>
          <w:numId w:val="2"/>
        </w:numPr>
        <w:spacing w:before="240" w:after="240" w:line="276" w:lineRule="auto"/>
        <w:ind w:left="714" w:hanging="357"/>
        <w:contextualSpacing w:val="0"/>
        <w:jc w:val="center"/>
        <w:rPr>
          <w:rFonts w:ascii="Arial" w:hAnsi="Arial" w:cs="Arial"/>
          <w:b/>
          <w:bCs/>
        </w:rPr>
      </w:pPr>
      <w:r>
        <w:rPr>
          <w:rFonts w:ascii="Arial" w:hAnsi="Arial" w:cs="Arial"/>
          <w:b/>
          <w:bCs/>
        </w:rPr>
        <w:t>PROVÁDĚNÍ A AKCEPTACE VÝSTUPŮ ČÁSTI PLNĚNÍ VÝVOJ</w:t>
      </w:r>
    </w:p>
    <w:p>
      <w:pPr>
        <w:pStyle w:val="Odstavecseseznamem"/>
        <w:numPr>
          <w:ilvl w:val="0"/>
          <w:numId w:val="1"/>
        </w:numPr>
        <w:spacing w:after="240" w:line="276" w:lineRule="auto"/>
        <w:contextualSpacing w:val="0"/>
        <w:jc w:val="both"/>
        <w:rPr>
          <w:rFonts w:ascii="Arial" w:hAnsi="Arial" w:cs="Arial"/>
        </w:rPr>
      </w:pPr>
      <w:bookmarkStart w:id="35" w:name="_Ref223315402"/>
      <w:r>
        <w:rPr>
          <w:rFonts w:ascii="Arial" w:hAnsi="Arial" w:cs="Arial"/>
        </w:rPr>
        <w:t xml:space="preserve">Dodavatel se zavazuje, že </w:t>
      </w:r>
      <w:r>
        <w:rPr>
          <w:rFonts w:ascii="Arial" w:hAnsi="Arial" w:cs="Arial"/>
          <w:b/>
          <w:bCs/>
        </w:rPr>
        <w:t>část plnění Vývoj</w:t>
      </w:r>
      <w:r>
        <w:rPr>
          <w:rFonts w:ascii="Arial" w:hAnsi="Arial" w:cs="Arial"/>
        </w:rPr>
        <w:t xml:space="preserve"> bude provádět v průběhu několika kratších časových bloků, tzv. „sprintů“. Sprinty budou probíhat na základě objednávek </w:t>
      </w:r>
      <w:r>
        <w:rPr>
          <w:rFonts w:ascii="Arial" w:hAnsi="Arial" w:cs="Arial"/>
        </w:rPr>
        <w:lastRenderedPageBreak/>
        <w:t>uskutečněných způsobem popsaným níže v tomto odstavci (dále jen „</w:t>
      </w:r>
      <w:r>
        <w:rPr>
          <w:rFonts w:ascii="Arial" w:hAnsi="Arial" w:cs="Arial"/>
          <w:b/>
          <w:bCs/>
        </w:rPr>
        <w:t>Objednávky</w:t>
      </w:r>
      <w:r>
        <w:rPr>
          <w:rFonts w:ascii="Arial" w:hAnsi="Arial" w:cs="Arial"/>
        </w:rPr>
        <w:t>“). V jedné Objednávce může být zahrnuto i více sprintů.</w:t>
      </w:r>
      <w:bookmarkEnd w:id="35"/>
      <w:r>
        <w:rPr>
          <w:rFonts w:ascii="Arial" w:hAnsi="Arial" w:cs="Arial"/>
        </w:rPr>
        <w:t xml:space="preserve"> </w:t>
      </w:r>
    </w:p>
    <w:p>
      <w:pPr>
        <w:pStyle w:val="Odstavecseseznamem"/>
        <w:numPr>
          <w:ilvl w:val="1"/>
          <w:numId w:val="1"/>
        </w:numPr>
        <w:spacing w:after="240" w:line="276" w:lineRule="auto"/>
        <w:ind w:left="1276" w:hanging="709"/>
        <w:contextualSpacing w:val="0"/>
        <w:jc w:val="both"/>
        <w:rPr>
          <w:rFonts w:ascii="Arial" w:hAnsi="Arial" w:cs="Arial"/>
        </w:rPr>
      </w:pPr>
      <w:bookmarkStart w:id="36" w:name="_Ref223315785"/>
      <w:r>
        <w:rPr>
          <w:rFonts w:ascii="Arial" w:hAnsi="Arial" w:cs="Arial"/>
        </w:rPr>
        <w:t>Objednatel zašle Dodavateli požadavek na provedení díla nebo jiných činností Dodavatele směřujících k vytvoření nebo dalšímu vývoji Nových webových stránek. V rámci požadavku specifikuje Objednatel obecně, co má být vytvořeno a čeho má být dosaženo.</w:t>
      </w:r>
      <w:bookmarkEnd w:id="36"/>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Dodavatel na základě požadavku Objednatele navrhne řešení potřeby Objednatele specifikované v požadavku. Dodavatel se zavazuje svou reakci na požadavek Objednatele zaslat Objednateli nejpozději do 3 pracovních dnů od doručení požadavku. Je-li to s ohledem na složitost požadavku a další relevantní okolnosti potřeba, vyžádá si Dodavatel v rámci své reakce od Objednatele doplnění, upřesnění či jinou součinnost potřebnou k návrhu řešení.</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Strany si prostřednictvím komunikace, případně jinou vhodnou formou, vč. osobní schůzky, poskytnou součinnost ke specifikaci díla a vytvoření zadání pro Dodavatele na základě požadavku Objednatele. Pro vyloučení pochybností se uvádí, že zadání vytvořené v součinnosti Smluvních stran se může lišit od původního požadavku Objednatele, zejm. je-li to účelné s ohledem na vývoj Nových webových stránek a naplnění potřeby Objednatele v přiměřeném čase.</w:t>
      </w:r>
    </w:p>
    <w:p>
      <w:pPr>
        <w:pStyle w:val="Odstavecseseznamem"/>
        <w:numPr>
          <w:ilvl w:val="0"/>
          <w:numId w:val="1"/>
        </w:numPr>
        <w:spacing w:after="240" w:line="276" w:lineRule="auto"/>
        <w:contextualSpacing w:val="0"/>
        <w:jc w:val="both"/>
        <w:rPr>
          <w:rFonts w:ascii="Arial" w:hAnsi="Arial" w:cs="Arial"/>
        </w:rPr>
      </w:pPr>
      <w:bookmarkStart w:id="37" w:name="_Ref223347892"/>
      <w:r>
        <w:rPr>
          <w:rFonts w:ascii="Arial" w:hAnsi="Arial" w:cs="Arial"/>
        </w:rPr>
        <w:t xml:space="preserve">Způsobem dle odst. </w:t>
      </w:r>
      <w:r>
        <w:rPr>
          <w:rFonts w:ascii="Arial" w:hAnsi="Arial" w:cs="Arial"/>
        </w:rPr>
        <w:fldChar w:fldCharType="begin"/>
      </w:r>
      <w:r>
        <w:rPr>
          <w:rFonts w:ascii="Arial" w:hAnsi="Arial" w:cs="Arial"/>
        </w:rPr>
        <w:instrText xml:space="preserve"> REF _Ref223315402 \r \h </w:instrText>
      </w:r>
      <w:r>
        <w:rPr>
          <w:rFonts w:ascii="Arial" w:hAnsi="Arial" w:cs="Arial"/>
        </w:rPr>
      </w:r>
      <w:r>
        <w:rPr>
          <w:rFonts w:ascii="Arial" w:hAnsi="Arial" w:cs="Arial"/>
        </w:rPr>
        <w:fldChar w:fldCharType="separate"/>
      </w:r>
      <w:r>
        <w:rPr>
          <w:rFonts w:ascii="Arial" w:hAnsi="Arial" w:cs="Arial"/>
        </w:rPr>
        <w:t>13</w:t>
      </w:r>
      <w:r>
        <w:rPr>
          <w:rFonts w:ascii="Arial" w:hAnsi="Arial" w:cs="Arial"/>
        </w:rPr>
        <w:fldChar w:fldCharType="end"/>
      </w:r>
      <w:r>
        <w:rPr>
          <w:rFonts w:ascii="Arial" w:hAnsi="Arial" w:cs="Arial"/>
        </w:rPr>
        <w:t xml:space="preserve"> této Smlouvy Smluvní strany dohodnou obsah Objednávky, zejména:</w:t>
      </w:r>
      <w:bookmarkEnd w:id="37"/>
      <w:r>
        <w:rPr>
          <w:rFonts w:ascii="Arial" w:hAnsi="Arial" w:cs="Arial"/>
        </w:rPr>
        <w:t xml:space="preserve"> </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b/>
        </w:rPr>
        <w:t>předmět Objednávky</w:t>
      </w:r>
      <w:r>
        <w:rPr>
          <w:rFonts w:ascii="Arial" w:hAnsi="Arial" w:cs="Arial"/>
        </w:rPr>
        <w:t>, tedy dílo, které má být v rámci sprintu provedeno, nebo jiné činnosti Dodavatele dle této Smlouvy, a to zejména skrze vymezení funkcí a parametrů, které má dílo, resp. Nové webové stránky jako celek splňovat; je-li do Objednávky zahrnuto více sprintů, bude Objednávka obsahovat rovněž rozdělení, do kterého sprintu spadá provedení příslušného díla nebo dalších činností,</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b/>
        </w:rPr>
        <w:t>časový rozsah sprintu/sprintů</w:t>
      </w:r>
      <w:r>
        <w:rPr>
          <w:rFonts w:ascii="Arial" w:hAnsi="Arial" w:cs="Arial"/>
        </w:rPr>
        <w:t xml:space="preserve">, tedy maximální množství </w:t>
      </w:r>
      <w:proofErr w:type="spellStart"/>
      <w:r>
        <w:rPr>
          <w:rFonts w:ascii="Arial" w:hAnsi="Arial" w:cs="Arial"/>
        </w:rPr>
        <w:t>člověko</w:t>
      </w:r>
      <w:proofErr w:type="spellEnd"/>
      <w:r>
        <w:rPr>
          <w:rFonts w:ascii="Arial" w:hAnsi="Arial" w:cs="Arial"/>
        </w:rPr>
        <w:t xml:space="preserve">-hodin potřebných ze strany Dodavatele k vytvoření, poskytnutí či jinému splnění předmětu sprintu; </w:t>
      </w:r>
      <w:proofErr w:type="spellStart"/>
      <w:r>
        <w:rPr>
          <w:rFonts w:ascii="Arial" w:hAnsi="Arial" w:cs="Arial"/>
        </w:rPr>
        <w:t>člověko</w:t>
      </w:r>
      <w:proofErr w:type="spellEnd"/>
      <w:r>
        <w:rPr>
          <w:rFonts w:ascii="Arial" w:hAnsi="Arial" w:cs="Arial"/>
        </w:rPr>
        <w:t>-hodinou se rozumí výkon práce kompetentního pracovníka, tj. programátora nebo jiného odborného pracovníka, který se podílí na poskytování plnění ze strany Dodavatele dle této Smlouvy,</w:t>
      </w:r>
    </w:p>
    <w:p>
      <w:pPr>
        <w:pStyle w:val="Odstavecseseznamem"/>
        <w:numPr>
          <w:ilvl w:val="1"/>
          <w:numId w:val="1"/>
        </w:numPr>
        <w:spacing w:after="240" w:line="276" w:lineRule="auto"/>
        <w:ind w:left="1276" w:hanging="709"/>
        <w:contextualSpacing w:val="0"/>
        <w:jc w:val="both"/>
        <w:rPr>
          <w:rFonts w:ascii="Arial" w:hAnsi="Arial" w:cs="Arial"/>
        </w:rPr>
      </w:pPr>
      <w:bookmarkStart w:id="38" w:name="_Ref223347592"/>
      <w:r>
        <w:rPr>
          <w:rFonts w:ascii="Arial" w:hAnsi="Arial" w:cs="Arial"/>
          <w:b/>
        </w:rPr>
        <w:t>termín sprintu</w:t>
      </w:r>
      <w:r>
        <w:rPr>
          <w:rFonts w:ascii="Arial" w:hAnsi="Arial" w:cs="Arial"/>
        </w:rPr>
        <w:t>, tedy termín, do kdy má být sprint dokončen a předmět sprintu předán Objednateli v souladu s touto Smlouvou, případně rovněž počátek běhu sprintu.</w:t>
      </w:r>
      <w:bookmarkEnd w:id="38"/>
    </w:p>
    <w:p>
      <w:pPr>
        <w:pStyle w:val="Odstavecseseznamem"/>
        <w:numPr>
          <w:ilvl w:val="0"/>
          <w:numId w:val="1"/>
        </w:numPr>
        <w:spacing w:after="240" w:line="276" w:lineRule="auto"/>
        <w:contextualSpacing w:val="0"/>
        <w:jc w:val="both"/>
        <w:rPr>
          <w:rFonts w:ascii="Arial" w:hAnsi="Arial" w:cs="Arial"/>
        </w:rPr>
      </w:pPr>
      <w:bookmarkStart w:id="39" w:name="_Ref223319865"/>
      <w:r>
        <w:rPr>
          <w:rFonts w:ascii="Arial" w:hAnsi="Arial" w:cs="Arial"/>
        </w:rPr>
        <w:t xml:space="preserve">Okamžikem odsouhlasení obsahu Objednávky dle odst. </w:t>
      </w:r>
      <w:r>
        <w:rPr>
          <w:rFonts w:ascii="Arial" w:hAnsi="Arial" w:cs="Arial"/>
        </w:rPr>
        <w:fldChar w:fldCharType="begin"/>
      </w:r>
      <w:r>
        <w:rPr>
          <w:rFonts w:ascii="Arial" w:hAnsi="Arial" w:cs="Arial"/>
        </w:rPr>
        <w:instrText xml:space="preserve"> REF _Ref223315402 \r \h </w:instrText>
      </w:r>
      <w:r>
        <w:rPr>
          <w:rFonts w:ascii="Arial" w:hAnsi="Arial" w:cs="Arial"/>
        </w:rPr>
      </w:r>
      <w:r>
        <w:rPr>
          <w:rFonts w:ascii="Arial" w:hAnsi="Arial" w:cs="Arial"/>
        </w:rPr>
        <w:fldChar w:fldCharType="separate"/>
      </w:r>
      <w:r>
        <w:rPr>
          <w:rFonts w:ascii="Arial" w:hAnsi="Arial" w:cs="Arial"/>
        </w:rPr>
        <w:t>13</w:t>
      </w:r>
      <w:r>
        <w:rPr>
          <w:rFonts w:ascii="Arial" w:hAnsi="Arial" w:cs="Arial"/>
        </w:rPr>
        <w:fldChar w:fldCharType="end"/>
      </w:r>
      <w:r>
        <w:rPr>
          <w:rFonts w:ascii="Arial" w:hAnsi="Arial" w:cs="Arial"/>
        </w:rPr>
        <w:t xml:space="preserve"> této Smlouvy oběma Stranami vzniká mezi nimi dílčí smlouva, jejímž předmětem je provedení díla a poskytnutí jiných činností ze strany Dodavatele dle Objednávky (dále jen „</w:t>
      </w:r>
      <w:r>
        <w:rPr>
          <w:rFonts w:ascii="Arial" w:hAnsi="Arial" w:cs="Arial"/>
          <w:b/>
        </w:rPr>
        <w:t>Dílčí smlouva</w:t>
      </w:r>
      <w:r>
        <w:rPr>
          <w:rFonts w:ascii="Arial" w:hAnsi="Arial" w:cs="Arial"/>
        </w:rPr>
        <w:t>“).</w:t>
      </w:r>
      <w:bookmarkEnd w:id="39"/>
    </w:p>
    <w:p>
      <w:pPr>
        <w:pStyle w:val="Odstavecseseznamem"/>
        <w:numPr>
          <w:ilvl w:val="0"/>
          <w:numId w:val="1"/>
        </w:numPr>
        <w:spacing w:after="240" w:line="276" w:lineRule="auto"/>
        <w:contextualSpacing w:val="0"/>
        <w:jc w:val="both"/>
        <w:rPr>
          <w:rFonts w:ascii="Arial" w:hAnsi="Arial" w:cs="Arial"/>
        </w:rPr>
      </w:pPr>
      <w:r>
        <w:rPr>
          <w:rFonts w:ascii="Arial" w:hAnsi="Arial" w:cs="Arial"/>
        </w:rPr>
        <w:t xml:space="preserve">Dodavatel se zavazuje řádně a v dobré víře s Objednatelem spolupracovat na dohodnutí obsahu Objednávky v rámci postupu dle odst. </w:t>
      </w:r>
      <w:r>
        <w:rPr>
          <w:rFonts w:ascii="Arial" w:hAnsi="Arial" w:cs="Arial"/>
        </w:rPr>
        <w:fldChar w:fldCharType="begin"/>
      </w:r>
      <w:r>
        <w:rPr>
          <w:rFonts w:ascii="Arial" w:hAnsi="Arial" w:cs="Arial"/>
        </w:rPr>
        <w:instrText xml:space="preserve"> REF _Ref223315402 \r \h </w:instrText>
      </w:r>
      <w:r>
        <w:rPr>
          <w:rFonts w:ascii="Arial" w:hAnsi="Arial" w:cs="Arial"/>
        </w:rPr>
      </w:r>
      <w:r>
        <w:rPr>
          <w:rFonts w:ascii="Arial" w:hAnsi="Arial" w:cs="Arial"/>
        </w:rPr>
        <w:fldChar w:fldCharType="separate"/>
      </w:r>
      <w:r>
        <w:rPr>
          <w:rFonts w:ascii="Arial" w:hAnsi="Arial" w:cs="Arial"/>
        </w:rPr>
        <w:t>13</w:t>
      </w:r>
      <w:r>
        <w:rPr>
          <w:rFonts w:ascii="Arial" w:hAnsi="Arial" w:cs="Arial"/>
        </w:rPr>
        <w:fldChar w:fldCharType="end"/>
      </w:r>
      <w:r>
        <w:rPr>
          <w:rFonts w:ascii="Arial" w:hAnsi="Arial" w:cs="Arial"/>
        </w:rPr>
        <w:t xml:space="preserve"> této Smlouvy a přijmout Objednávku, </w:t>
      </w:r>
      <w:r>
        <w:rPr>
          <w:rFonts w:ascii="Arial" w:hAnsi="Arial" w:cs="Arial"/>
        </w:rPr>
        <w:lastRenderedPageBreak/>
        <w:t>jejíž obsah byl Stranami dohodnut tímto postupem. Nebude-li obsah Objednávky odsouhlasen Stranami v přiměřené době, kterou se rozumí nejdéle 5 pracovních dní od zadání požadavku Objednatele dle pododst.</w:t>
      </w:r>
      <w:r>
        <w:rPr>
          <w:rFonts w:ascii="Arial" w:hAnsi="Arial" w:cs="Arial"/>
        </w:rPr>
        <w:fldChar w:fldCharType="begin"/>
      </w:r>
      <w:r>
        <w:rPr>
          <w:rFonts w:ascii="Arial" w:hAnsi="Arial" w:cs="Arial"/>
        </w:rPr>
        <w:instrText xml:space="preserve"> REF _Ref223315785 \r \h </w:instrText>
      </w:r>
      <w:r>
        <w:rPr>
          <w:rFonts w:ascii="Arial" w:hAnsi="Arial" w:cs="Arial"/>
        </w:rPr>
      </w:r>
      <w:r>
        <w:rPr>
          <w:rFonts w:ascii="Arial" w:hAnsi="Arial" w:cs="Arial"/>
        </w:rPr>
        <w:fldChar w:fldCharType="separate"/>
      </w:r>
      <w:r>
        <w:rPr>
          <w:rFonts w:ascii="Arial" w:hAnsi="Arial" w:cs="Arial"/>
        </w:rPr>
        <w:t>13.1</w:t>
      </w:r>
      <w:r>
        <w:rPr>
          <w:rFonts w:ascii="Arial" w:hAnsi="Arial" w:cs="Arial"/>
        </w:rPr>
        <w:fldChar w:fldCharType="end"/>
      </w:r>
      <w:r>
        <w:rPr>
          <w:rFonts w:ascii="Arial" w:hAnsi="Arial" w:cs="Arial"/>
        </w:rPr>
        <w:t xml:space="preserve"> této Smlouvy, je oprávněn obsah Objednávky, a tudíž obsah Dílčí smlouvy určit Objednatel, přičemž v takovém případě vzniká Dílčí smlouva okamžikem doručení oznámení Objednatele o výkonu tohoto práva.</w:t>
      </w:r>
    </w:p>
    <w:p>
      <w:pPr>
        <w:pStyle w:val="Odstavecseseznamem"/>
        <w:numPr>
          <w:ilvl w:val="0"/>
          <w:numId w:val="1"/>
        </w:numPr>
        <w:spacing w:after="240" w:line="276" w:lineRule="auto"/>
        <w:contextualSpacing w:val="0"/>
        <w:jc w:val="both"/>
        <w:rPr>
          <w:rFonts w:ascii="Arial" w:hAnsi="Arial" w:cs="Arial"/>
        </w:rPr>
      </w:pPr>
      <w:r>
        <w:rPr>
          <w:rFonts w:ascii="Arial" w:hAnsi="Arial" w:cs="Arial"/>
        </w:rPr>
        <w:t>Předání a převzetí děl a jiných výsledků činnosti v rámci části plnění Vývoj bude probíhat následovně:</w:t>
      </w:r>
    </w:p>
    <w:p>
      <w:pPr>
        <w:pStyle w:val="Odstavecseseznamem"/>
        <w:numPr>
          <w:ilvl w:val="1"/>
          <w:numId w:val="1"/>
        </w:numPr>
        <w:spacing w:after="240" w:line="276" w:lineRule="auto"/>
        <w:contextualSpacing w:val="0"/>
        <w:jc w:val="both"/>
        <w:rPr>
          <w:rFonts w:ascii="Arial" w:hAnsi="Arial" w:cs="Arial"/>
        </w:rPr>
      </w:pPr>
      <w:bookmarkStart w:id="40" w:name="_Ref223351615"/>
      <w:r>
        <w:rPr>
          <w:rFonts w:ascii="Arial" w:hAnsi="Arial" w:cs="Arial"/>
        </w:rPr>
        <w:t xml:space="preserve">Dodavatel vyzve Objednatele po dokončení díla či provedení jiných činností dle příslušné Dílčí smlouvy, nejpozději však ke konci termínu ve smyslu </w:t>
      </w:r>
      <w:proofErr w:type="spellStart"/>
      <w:r>
        <w:rPr>
          <w:rFonts w:ascii="Arial" w:hAnsi="Arial" w:cs="Arial"/>
        </w:rPr>
        <w:t>pododst</w:t>
      </w:r>
      <w:proofErr w:type="spellEnd"/>
      <w:r>
        <w:rPr>
          <w:rFonts w:ascii="Arial" w:hAnsi="Arial" w:cs="Arial"/>
        </w:rPr>
        <w:t>. </w:t>
      </w:r>
      <w:r>
        <w:rPr>
          <w:rFonts w:ascii="Arial" w:hAnsi="Arial" w:cs="Arial"/>
        </w:rPr>
        <w:fldChar w:fldCharType="begin"/>
      </w:r>
      <w:r>
        <w:rPr>
          <w:rFonts w:ascii="Arial" w:hAnsi="Arial" w:cs="Arial"/>
        </w:rPr>
        <w:instrText xml:space="preserve"> REF _Ref223347592 \r \h </w:instrText>
      </w:r>
      <w:r>
        <w:rPr>
          <w:rFonts w:ascii="Arial" w:hAnsi="Arial" w:cs="Arial"/>
        </w:rPr>
      </w:r>
      <w:r>
        <w:rPr>
          <w:rFonts w:ascii="Arial" w:hAnsi="Arial" w:cs="Arial"/>
        </w:rPr>
        <w:fldChar w:fldCharType="separate"/>
      </w:r>
      <w:r>
        <w:rPr>
          <w:rFonts w:ascii="Arial" w:hAnsi="Arial" w:cs="Arial"/>
        </w:rPr>
        <w:t>14.3</w:t>
      </w:r>
      <w:r>
        <w:rPr>
          <w:rFonts w:ascii="Arial" w:hAnsi="Arial" w:cs="Arial"/>
        </w:rPr>
        <w:fldChar w:fldCharType="end"/>
      </w:r>
      <w:r>
        <w:rPr>
          <w:rFonts w:ascii="Arial" w:hAnsi="Arial" w:cs="Arial"/>
        </w:rPr>
        <w:t xml:space="preserve"> této Smlouvy, k převzetí příslušného díla nebo jiných výsledků činnosti Dodavatele.</w:t>
      </w:r>
      <w:bookmarkEnd w:id="40"/>
    </w:p>
    <w:p>
      <w:pPr>
        <w:pStyle w:val="Odstavecseseznamem"/>
        <w:numPr>
          <w:ilvl w:val="1"/>
          <w:numId w:val="1"/>
        </w:numPr>
        <w:spacing w:after="240" w:line="276" w:lineRule="auto"/>
        <w:contextualSpacing w:val="0"/>
        <w:jc w:val="both"/>
        <w:rPr>
          <w:rFonts w:ascii="Arial" w:hAnsi="Arial" w:cs="Arial"/>
        </w:rPr>
      </w:pPr>
      <w:bookmarkStart w:id="41" w:name="_Ref223347709"/>
      <w:r>
        <w:rPr>
          <w:rFonts w:ascii="Arial" w:hAnsi="Arial" w:cs="Arial"/>
        </w:rPr>
        <w:t xml:space="preserve">Bylo-li v rámci příslušné Dílčí smlouvy dohodnuto, že Strany provedou určité akceptační testy nebo že proběhne testovací provoz, provedou Strany akceptační testy či zahájí testovací provoz bez zbytečného odkladu po doručení výzvy </w:t>
      </w:r>
      <w:r>
        <w:rPr>
          <w:rFonts w:ascii="Arial" w:hAnsi="Arial" w:cs="Arial"/>
          <w:color w:val="000000" w:themeColor="text1"/>
        </w:rPr>
        <w:t xml:space="preserve">Dodavatele dle </w:t>
      </w:r>
      <w:proofErr w:type="spellStart"/>
      <w:r>
        <w:rPr>
          <w:rFonts w:ascii="Arial" w:hAnsi="Arial" w:cs="Arial"/>
          <w:color w:val="000000" w:themeColor="text1"/>
        </w:rPr>
        <w:t>pododst</w:t>
      </w:r>
      <w:proofErr w:type="spellEnd"/>
      <w:r>
        <w:rPr>
          <w:rFonts w:ascii="Arial" w:hAnsi="Arial" w:cs="Arial"/>
          <w:color w:val="000000" w:themeColor="text1"/>
        </w:rPr>
        <w:t xml:space="preserve">. </w:t>
      </w:r>
      <w:r>
        <w:rPr>
          <w:rFonts w:ascii="Arial" w:hAnsi="Arial" w:cs="Arial"/>
          <w:color w:val="000000" w:themeColor="text1"/>
        </w:rPr>
        <w:fldChar w:fldCharType="begin"/>
      </w:r>
      <w:r>
        <w:rPr>
          <w:rFonts w:ascii="Arial" w:hAnsi="Arial" w:cs="Arial"/>
          <w:color w:val="000000" w:themeColor="text1"/>
        </w:rPr>
        <w:instrText xml:space="preserve"> REF _Ref223351615 \r \h </w:instrText>
      </w:r>
      <w:r>
        <w:rPr>
          <w:rFonts w:ascii="Arial" w:hAnsi="Arial" w:cs="Arial"/>
          <w:color w:val="000000" w:themeColor="text1"/>
        </w:rPr>
      </w:r>
      <w:r>
        <w:rPr>
          <w:rFonts w:ascii="Arial" w:hAnsi="Arial" w:cs="Arial"/>
          <w:color w:val="000000" w:themeColor="text1"/>
        </w:rPr>
        <w:fldChar w:fldCharType="separate"/>
      </w:r>
      <w:r>
        <w:rPr>
          <w:rFonts w:ascii="Arial" w:hAnsi="Arial" w:cs="Arial"/>
          <w:color w:val="000000" w:themeColor="text1"/>
        </w:rPr>
        <w:t>17.1</w:t>
      </w:r>
      <w:r>
        <w:rPr>
          <w:rFonts w:ascii="Arial" w:hAnsi="Arial" w:cs="Arial"/>
          <w:color w:val="000000" w:themeColor="text1"/>
        </w:rPr>
        <w:fldChar w:fldCharType="end"/>
      </w:r>
      <w:r>
        <w:rPr>
          <w:rFonts w:ascii="Arial" w:hAnsi="Arial" w:cs="Arial"/>
          <w:color w:val="000000" w:themeColor="text1"/>
        </w:rPr>
        <w:t xml:space="preserve"> této Smlouvy. Je</w:t>
      </w:r>
      <w:r>
        <w:rPr>
          <w:rFonts w:ascii="Arial" w:hAnsi="Arial" w:cs="Arial"/>
        </w:rPr>
        <w:t>-li to dohodnuto v rámci Dílčí smlouvy nebo je-li to v obdobných případech obvyklé, připraví Dodavatel své plnění k provedení akceptačních testů či k testovacímu provozu v testovacím prostředí, které bude odděleno od produkčního prostředí tak, aby před ověřením funkčnosti příslušného plnění nedošlo k ohrožení provozu Nových webových stránek, omezení jejich funkcí nebo k ohrožení bezpečnosti dat, zejm. osobních údajů, které jsou v rámci provozu Nových webových stránek zpracovávány, nebo jiných důvěrných informací.</w:t>
      </w:r>
      <w:bookmarkEnd w:id="41"/>
    </w:p>
    <w:p>
      <w:pPr>
        <w:pStyle w:val="Odstavecseseznamem"/>
        <w:numPr>
          <w:ilvl w:val="1"/>
          <w:numId w:val="1"/>
        </w:numPr>
        <w:spacing w:after="240" w:line="276" w:lineRule="auto"/>
        <w:contextualSpacing w:val="0"/>
        <w:jc w:val="both"/>
        <w:rPr>
          <w:rFonts w:ascii="Arial" w:hAnsi="Arial" w:cs="Arial"/>
        </w:rPr>
      </w:pPr>
      <w:bookmarkStart w:id="42" w:name="_Ref223347825"/>
      <w:r>
        <w:rPr>
          <w:rFonts w:ascii="Arial" w:hAnsi="Arial" w:cs="Arial"/>
        </w:rPr>
        <w:t xml:space="preserve">Po provedení akceptačních testů či po skončení testovacího provozu, nebo nebylo-li jich, po doručení výzvy Dodavatele dle odst. </w:t>
      </w:r>
      <w:r>
        <w:rPr>
          <w:rFonts w:ascii="Arial" w:hAnsi="Arial" w:cs="Arial"/>
        </w:rPr>
        <w:fldChar w:fldCharType="begin"/>
      </w:r>
      <w:r>
        <w:rPr>
          <w:rFonts w:ascii="Arial" w:hAnsi="Arial" w:cs="Arial"/>
        </w:rPr>
        <w:instrText xml:space="preserve"> REF _Ref223347709 \r \h </w:instrText>
      </w:r>
      <w:r>
        <w:rPr>
          <w:rFonts w:ascii="Arial" w:hAnsi="Arial" w:cs="Arial"/>
        </w:rPr>
      </w:r>
      <w:r>
        <w:rPr>
          <w:rFonts w:ascii="Arial" w:hAnsi="Arial" w:cs="Arial"/>
        </w:rPr>
        <w:fldChar w:fldCharType="separate"/>
      </w:r>
      <w:r>
        <w:rPr>
          <w:rFonts w:ascii="Arial" w:hAnsi="Arial" w:cs="Arial"/>
        </w:rPr>
        <w:t>17.2</w:t>
      </w:r>
      <w:r>
        <w:rPr>
          <w:rFonts w:ascii="Arial" w:hAnsi="Arial" w:cs="Arial"/>
        </w:rPr>
        <w:fldChar w:fldCharType="end"/>
      </w:r>
      <w:r>
        <w:rPr>
          <w:rFonts w:ascii="Arial" w:hAnsi="Arial" w:cs="Arial"/>
        </w:rPr>
        <w:t xml:space="preserve"> této Smlouvy, vytkne Objednatel Dodavateli případné vady plnění. Objednatel se zavazuje vytknout zjištěné vady plnění bez zbytečného odkladu poté, co je zjistí. </w:t>
      </w:r>
      <w:proofErr w:type="spellStart"/>
      <w:r>
        <w:rPr>
          <w:rFonts w:ascii="Arial" w:hAnsi="Arial" w:cs="Arial"/>
        </w:rPr>
        <w:t>Nevytknutí</w:t>
      </w:r>
      <w:proofErr w:type="spellEnd"/>
      <w:r>
        <w:rPr>
          <w:rFonts w:ascii="Arial" w:hAnsi="Arial" w:cs="Arial"/>
        </w:rPr>
        <w:t xml:space="preserve"> vad </w:t>
      </w:r>
      <w:r>
        <w:rPr>
          <w:rFonts w:ascii="Arial" w:hAnsi="Arial" w:cs="Arial"/>
          <w:color w:val="000000" w:themeColor="text1"/>
        </w:rPr>
        <w:t xml:space="preserve">plnění Objednatelem dle tohoto ustanovení nebrání jejich vytknutí kdykoli v průběhu trvání závazku Dodavatele k části plnění Vývoje, a to až do okamžiku dle odst. </w:t>
      </w:r>
      <w:r>
        <w:rPr>
          <w:rFonts w:ascii="Arial" w:hAnsi="Arial" w:cs="Arial"/>
          <w:color w:val="000000" w:themeColor="text1"/>
        </w:rPr>
        <w:fldChar w:fldCharType="begin"/>
      </w:r>
      <w:r>
        <w:rPr>
          <w:rFonts w:ascii="Arial" w:hAnsi="Arial" w:cs="Arial"/>
          <w:color w:val="000000" w:themeColor="text1"/>
        </w:rPr>
        <w:instrText xml:space="preserve"> REF _Ref223348029 \r \h </w:instrText>
      </w:r>
      <w:r>
        <w:rPr>
          <w:rFonts w:ascii="Arial" w:hAnsi="Arial" w:cs="Arial"/>
          <w:color w:val="000000" w:themeColor="text1"/>
        </w:rPr>
      </w:r>
      <w:r>
        <w:rPr>
          <w:rFonts w:ascii="Arial" w:hAnsi="Arial" w:cs="Arial"/>
          <w:color w:val="000000" w:themeColor="text1"/>
        </w:rPr>
        <w:fldChar w:fldCharType="separate"/>
      </w:r>
      <w:r>
        <w:rPr>
          <w:rFonts w:ascii="Arial" w:hAnsi="Arial" w:cs="Arial"/>
          <w:color w:val="000000" w:themeColor="text1"/>
        </w:rPr>
        <w:t>18</w:t>
      </w:r>
      <w:r>
        <w:rPr>
          <w:rFonts w:ascii="Arial" w:hAnsi="Arial" w:cs="Arial"/>
          <w:color w:val="000000" w:themeColor="text1"/>
        </w:rPr>
        <w:fldChar w:fldCharType="end"/>
      </w:r>
      <w:r>
        <w:rPr>
          <w:rFonts w:ascii="Arial" w:hAnsi="Arial" w:cs="Arial"/>
          <w:color w:val="000000" w:themeColor="text1"/>
        </w:rPr>
        <w:t xml:space="preserve"> Smlouvy.</w:t>
      </w:r>
      <w:bookmarkEnd w:id="42"/>
    </w:p>
    <w:p>
      <w:pPr>
        <w:pStyle w:val="Odstavecseseznamem"/>
        <w:numPr>
          <w:ilvl w:val="1"/>
          <w:numId w:val="1"/>
        </w:numPr>
        <w:spacing w:after="240" w:line="276" w:lineRule="auto"/>
        <w:contextualSpacing w:val="0"/>
        <w:jc w:val="both"/>
        <w:rPr>
          <w:rFonts w:ascii="Arial" w:hAnsi="Arial" w:cs="Arial"/>
        </w:rPr>
      </w:pPr>
      <w:bookmarkStart w:id="43" w:name="_Ref223351734"/>
      <w:r>
        <w:rPr>
          <w:rFonts w:ascii="Arial" w:hAnsi="Arial" w:cs="Arial"/>
        </w:rPr>
        <w:t>Vytkne-li Objednatel Dodavateli vady plnění za podmínek dle pododst.</w:t>
      </w:r>
      <w:r>
        <w:rPr>
          <w:rFonts w:ascii="Arial" w:hAnsi="Arial" w:cs="Arial"/>
        </w:rPr>
        <w:fldChar w:fldCharType="begin"/>
      </w:r>
      <w:r>
        <w:rPr>
          <w:rFonts w:ascii="Arial" w:hAnsi="Arial" w:cs="Arial"/>
        </w:rPr>
        <w:instrText xml:space="preserve"> REF _Ref223347825 \r \h </w:instrText>
      </w:r>
      <w:r>
        <w:rPr>
          <w:rFonts w:ascii="Arial" w:hAnsi="Arial" w:cs="Arial"/>
        </w:rPr>
      </w:r>
      <w:r>
        <w:rPr>
          <w:rFonts w:ascii="Arial" w:hAnsi="Arial" w:cs="Arial"/>
        </w:rPr>
        <w:fldChar w:fldCharType="separate"/>
      </w:r>
      <w:r>
        <w:rPr>
          <w:rFonts w:ascii="Arial" w:hAnsi="Arial" w:cs="Arial"/>
        </w:rPr>
        <w:t>17.3</w:t>
      </w:r>
      <w:r>
        <w:rPr>
          <w:rFonts w:ascii="Arial" w:hAnsi="Arial" w:cs="Arial"/>
        </w:rPr>
        <w:fldChar w:fldCharType="end"/>
      </w:r>
      <w:r>
        <w:rPr>
          <w:rFonts w:ascii="Arial" w:hAnsi="Arial" w:cs="Arial"/>
        </w:rPr>
        <w:t xml:space="preserve"> této Smlouvy, uplatní Objednatel u Dodavatele rovněž své právo z vadného plnění v souladu s příslušnými právními předpisy. Zvolí-li Objednatel odstranění vady opravou nebo provedením náhradního díla, má rovněž právo volby, zda (i) budou oprava či náhradní dílo provedeny bez zbytečného odkladu ve lhůtě přiměřené povaze věci, nejpozději však do 10 pracovních dní od oznámení vady, nebo (</w:t>
      </w:r>
      <w:proofErr w:type="spellStart"/>
      <w:r>
        <w:rPr>
          <w:rFonts w:ascii="Arial" w:hAnsi="Arial" w:cs="Arial"/>
        </w:rPr>
        <w:t>ii</w:t>
      </w:r>
      <w:proofErr w:type="spellEnd"/>
      <w:r>
        <w:rPr>
          <w:rFonts w:ascii="Arial" w:hAnsi="Arial" w:cs="Arial"/>
        </w:rPr>
        <w:t xml:space="preserve">) budou oprava či náhradní dílo zařazeny prioritně do dalšího sprintu, a tudíž budou provedeny v nejblíže následujícím sprintu ve smyslu odst. </w:t>
      </w:r>
      <w:r>
        <w:rPr>
          <w:rFonts w:ascii="Arial" w:hAnsi="Arial" w:cs="Arial"/>
        </w:rPr>
        <w:fldChar w:fldCharType="begin"/>
      </w:r>
      <w:r>
        <w:rPr>
          <w:rFonts w:ascii="Arial" w:hAnsi="Arial" w:cs="Arial"/>
        </w:rPr>
        <w:instrText xml:space="preserve"> REF _Ref223347892 \r \h </w:instrText>
      </w:r>
      <w:r>
        <w:rPr>
          <w:rFonts w:ascii="Arial" w:hAnsi="Arial" w:cs="Arial"/>
        </w:rPr>
      </w:r>
      <w:r>
        <w:rPr>
          <w:rFonts w:ascii="Arial" w:hAnsi="Arial" w:cs="Arial"/>
        </w:rPr>
        <w:fldChar w:fldCharType="separate"/>
      </w:r>
      <w:r>
        <w:rPr>
          <w:rFonts w:ascii="Arial" w:hAnsi="Arial" w:cs="Arial"/>
        </w:rPr>
        <w:t>14</w:t>
      </w:r>
      <w:r>
        <w:rPr>
          <w:rFonts w:ascii="Arial" w:hAnsi="Arial" w:cs="Arial"/>
        </w:rPr>
        <w:fldChar w:fldCharType="end"/>
      </w:r>
      <w:r>
        <w:rPr>
          <w:rFonts w:ascii="Arial" w:hAnsi="Arial" w:cs="Arial"/>
        </w:rPr>
        <w:t xml:space="preserve"> této Smlouvy, nedohodnou-li se Strany na zařazení do sprintu pozdějšího. Vytkne-li Objednatel vady plnění, může dle své vůle plnění převzít s výhradami nebo odmítnout převzetí do odstranění vad.</w:t>
      </w:r>
      <w:bookmarkEnd w:id="43"/>
    </w:p>
    <w:p>
      <w:pPr>
        <w:pStyle w:val="Odstavecseseznamem"/>
        <w:numPr>
          <w:ilvl w:val="0"/>
          <w:numId w:val="1"/>
        </w:numPr>
        <w:spacing w:after="240" w:line="276" w:lineRule="auto"/>
        <w:contextualSpacing w:val="0"/>
        <w:jc w:val="both"/>
        <w:rPr>
          <w:rFonts w:ascii="Arial" w:hAnsi="Arial" w:cs="Arial"/>
        </w:rPr>
      </w:pPr>
      <w:bookmarkStart w:id="44" w:name="_Ref223348029"/>
      <w:r>
        <w:rPr>
          <w:rFonts w:ascii="Arial" w:hAnsi="Arial" w:cs="Arial"/>
        </w:rPr>
        <w:t xml:space="preserve">Objednatel se po předání posledního díla/jiného výsledku činnosti ze strany Dodavatele, kterým bude ukončeno vytváření a vývoj Nových webových stránek dle Smlouvy, </w:t>
      </w:r>
      <w:r>
        <w:rPr>
          <w:rFonts w:ascii="Arial" w:hAnsi="Arial" w:cs="Arial"/>
        </w:rPr>
        <w:lastRenderedPageBreak/>
        <w:t>zavazuje provést akceptační test a/nebo testovací provoz, a to na základě dohody s Dodavatelem. Nedohodnou-li se Strany na rozsahu akceptačního testu a/nebo testovacího provozu, stanoví tento rozsah Objednatel. Objednatel po provedení akceptačního testu a/nebo testovacího provozu vytkne případné vady plnění, a to do jednoho měsíce od skončení akceptačního testu a/nebo testovacího provozu. Vytkne-li Objednatel vady plnění za podmínek dle tohoto odstavce, uplatní rovněž svá práva z vadného plnění v souladu s příslušnými právními předpisy. Nevytkne-li Objednatel Dodavateli vady plnění za podmínek dle tohoto odstavce, je plnění převzato bez zjevných vad; toto nijak nevylučuje právo z vadného plnění Objednatele ve vztahu ke skrytým vadám.</w:t>
      </w:r>
      <w:bookmarkEnd w:id="44"/>
    </w:p>
    <w:p>
      <w:pPr>
        <w:pStyle w:val="Odstavecseseznamem"/>
        <w:numPr>
          <w:ilvl w:val="0"/>
          <w:numId w:val="1"/>
        </w:numPr>
        <w:spacing w:after="240" w:line="276" w:lineRule="auto"/>
        <w:contextualSpacing w:val="0"/>
        <w:jc w:val="both"/>
        <w:rPr>
          <w:rFonts w:ascii="Arial" w:hAnsi="Arial" w:cs="Arial"/>
        </w:rPr>
      </w:pPr>
      <w:bookmarkStart w:id="45" w:name="_Ref223348132"/>
      <w:r>
        <w:rPr>
          <w:rFonts w:ascii="Arial" w:hAnsi="Arial" w:cs="Arial"/>
        </w:rPr>
        <w:t xml:space="preserve">Akceptační proces dle odst. </w:t>
      </w:r>
      <w:r>
        <w:rPr>
          <w:rFonts w:ascii="Arial" w:hAnsi="Arial" w:cs="Arial"/>
        </w:rPr>
        <w:fldChar w:fldCharType="begin"/>
      </w:r>
      <w:r>
        <w:rPr>
          <w:rFonts w:ascii="Arial" w:hAnsi="Arial" w:cs="Arial"/>
        </w:rPr>
        <w:instrText xml:space="preserve"> REF _Ref223348029 \r \h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xml:space="preserve"> této Smlouvy nevylučuje průběžné nasazování změn v režimu tzv. CI/CD (</w:t>
      </w:r>
      <w:proofErr w:type="spellStart"/>
      <w:r>
        <w:rPr>
          <w:rFonts w:ascii="Arial" w:hAnsi="Arial" w:cs="Arial"/>
        </w:rPr>
        <w:t>continuous</w:t>
      </w:r>
      <w:proofErr w:type="spellEnd"/>
      <w:r>
        <w:rPr>
          <w:rFonts w:ascii="Arial" w:hAnsi="Arial" w:cs="Arial"/>
        </w:rPr>
        <w:t xml:space="preserve"> </w:t>
      </w:r>
      <w:proofErr w:type="spellStart"/>
      <w:r>
        <w:rPr>
          <w:rFonts w:ascii="Arial" w:hAnsi="Arial" w:cs="Arial"/>
        </w:rPr>
        <w:t>integration</w:t>
      </w:r>
      <w:proofErr w:type="spellEnd"/>
      <w:r>
        <w:rPr>
          <w:rFonts w:ascii="Arial" w:hAnsi="Arial" w:cs="Arial"/>
        </w:rPr>
        <w:t>/</w:t>
      </w:r>
      <w:proofErr w:type="spellStart"/>
      <w:r>
        <w:rPr>
          <w:rFonts w:ascii="Arial" w:hAnsi="Arial" w:cs="Arial"/>
        </w:rPr>
        <w:t>continuous</w:t>
      </w:r>
      <w:proofErr w:type="spellEnd"/>
      <w:r>
        <w:rPr>
          <w:rFonts w:ascii="Arial" w:hAnsi="Arial" w:cs="Arial"/>
        </w:rPr>
        <w:t xml:space="preserve"> </w:t>
      </w:r>
      <w:proofErr w:type="spellStart"/>
      <w:r>
        <w:rPr>
          <w:rFonts w:ascii="Arial" w:hAnsi="Arial" w:cs="Arial"/>
        </w:rPr>
        <w:t>deployment</w:t>
      </w:r>
      <w:proofErr w:type="spellEnd"/>
      <w:r>
        <w:rPr>
          <w:rFonts w:ascii="Arial" w:hAnsi="Arial" w:cs="Arial"/>
        </w:rPr>
        <w:t xml:space="preserve">), kdy Dodavatel může v tomto režimu nasazovat změny Nových webových stránek průběžně a uvolňovat je do produkce, nedojde-li tím k ohrožení provozu Nových webových stránek, omezení jeho funkcí nebo k ohrožení bezpečnosti dat, zejm. osobních údajů, které jsou v rámci provozu Nových webových stránek zpracovávány, nebo jiných důvěrných informací. Průběžným nasazováním a uvolňováním do produkce nejsou dotčena pravidla akceptace díla nebo jiných výstupů činnosti Dodavatele dle odst. </w:t>
      </w:r>
      <w:r>
        <w:rPr>
          <w:rFonts w:ascii="Arial" w:hAnsi="Arial" w:cs="Arial"/>
        </w:rPr>
        <w:fldChar w:fldCharType="begin"/>
      </w:r>
      <w:r>
        <w:rPr>
          <w:rFonts w:ascii="Arial" w:hAnsi="Arial" w:cs="Arial"/>
        </w:rPr>
        <w:instrText xml:space="preserve"> REF _Ref223348029 \r \h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xml:space="preserve"> této Smlouvy v okamžiku, kde je dílo dokončeno či jiné činnosti provedeny Dodavatelem dle příslušné Dílčí smlouvy.</w:t>
      </w:r>
      <w:bookmarkEnd w:id="45"/>
    </w:p>
    <w:p>
      <w:pPr>
        <w:pStyle w:val="Odstavecseseznamem"/>
        <w:numPr>
          <w:ilvl w:val="0"/>
          <w:numId w:val="1"/>
        </w:numPr>
        <w:spacing w:after="240" w:line="276" w:lineRule="auto"/>
        <w:contextualSpacing w:val="0"/>
        <w:jc w:val="both"/>
        <w:rPr>
          <w:rFonts w:ascii="Arial" w:hAnsi="Arial" w:cs="Arial"/>
        </w:rPr>
      </w:pPr>
      <w:r>
        <w:rPr>
          <w:rFonts w:ascii="Arial" w:hAnsi="Arial" w:cs="Arial"/>
        </w:rPr>
        <w:t xml:space="preserve">Dodavatel se zavazuje při akceptačním procesu dle odst. </w:t>
      </w:r>
      <w:r>
        <w:rPr>
          <w:rFonts w:ascii="Arial" w:hAnsi="Arial" w:cs="Arial"/>
        </w:rPr>
        <w:fldChar w:fldCharType="begin"/>
      </w:r>
      <w:r>
        <w:rPr>
          <w:rFonts w:ascii="Arial" w:hAnsi="Arial" w:cs="Arial"/>
        </w:rPr>
        <w:instrText xml:space="preserve"> REF _Ref223348029 \r \h </w:instrText>
      </w:r>
      <w:r>
        <w:rPr>
          <w:rFonts w:ascii="Arial" w:hAnsi="Arial" w:cs="Arial"/>
        </w:rPr>
      </w:r>
      <w:r>
        <w:rPr>
          <w:rFonts w:ascii="Arial" w:hAnsi="Arial" w:cs="Arial"/>
        </w:rPr>
        <w:fldChar w:fldCharType="separate"/>
      </w:r>
      <w:r>
        <w:rPr>
          <w:rFonts w:ascii="Arial" w:hAnsi="Arial" w:cs="Arial"/>
        </w:rPr>
        <w:t>18</w:t>
      </w:r>
      <w:r>
        <w:rPr>
          <w:rFonts w:ascii="Arial" w:hAnsi="Arial" w:cs="Arial"/>
        </w:rPr>
        <w:fldChar w:fldCharType="end"/>
      </w:r>
      <w:r>
        <w:rPr>
          <w:rFonts w:ascii="Arial" w:hAnsi="Arial" w:cs="Arial"/>
        </w:rPr>
        <w:t xml:space="preserve"> a </w:t>
      </w:r>
      <w:r>
        <w:rPr>
          <w:rFonts w:ascii="Arial" w:hAnsi="Arial" w:cs="Arial"/>
        </w:rPr>
        <w:fldChar w:fldCharType="begin"/>
      </w:r>
      <w:r>
        <w:rPr>
          <w:rFonts w:ascii="Arial" w:hAnsi="Arial" w:cs="Arial"/>
        </w:rPr>
        <w:instrText xml:space="preserve"> REF _Ref223348132 \r \h </w:instrText>
      </w:r>
      <w:r>
        <w:rPr>
          <w:rFonts w:ascii="Arial" w:hAnsi="Arial" w:cs="Arial"/>
        </w:rPr>
      </w:r>
      <w:r>
        <w:rPr>
          <w:rFonts w:ascii="Arial" w:hAnsi="Arial" w:cs="Arial"/>
        </w:rPr>
        <w:fldChar w:fldCharType="separate"/>
      </w:r>
      <w:r>
        <w:rPr>
          <w:rFonts w:ascii="Arial" w:hAnsi="Arial" w:cs="Arial"/>
        </w:rPr>
        <w:t>19</w:t>
      </w:r>
      <w:r>
        <w:rPr>
          <w:rFonts w:ascii="Arial" w:hAnsi="Arial" w:cs="Arial"/>
        </w:rPr>
        <w:fldChar w:fldCharType="end"/>
      </w:r>
      <w:r>
        <w:rPr>
          <w:rFonts w:ascii="Arial" w:hAnsi="Arial" w:cs="Arial"/>
        </w:rPr>
        <w:t xml:space="preserve"> této Smlouvy poskytnout Objednateli součinnost za účelem zajištění kvality svého plnění. V rámci toho se bude Dodavatel prostřednictvím Projektového manažera či jiného člena projektového týmu dle odst. </w:t>
      </w:r>
      <w:r>
        <w:rPr>
          <w:rFonts w:ascii="Arial" w:hAnsi="Arial" w:cs="Arial"/>
        </w:rPr>
        <w:fldChar w:fldCharType="begin"/>
      </w:r>
      <w:r>
        <w:rPr>
          <w:rFonts w:ascii="Arial" w:hAnsi="Arial" w:cs="Arial"/>
        </w:rPr>
        <w:instrText xml:space="preserve"> REF _Ref223348198 \r \h </w:instrText>
      </w:r>
      <w:r>
        <w:rPr>
          <w:rFonts w:ascii="Arial" w:hAnsi="Arial" w:cs="Arial"/>
        </w:rPr>
      </w:r>
      <w:r>
        <w:rPr>
          <w:rFonts w:ascii="Arial" w:hAnsi="Arial" w:cs="Arial"/>
        </w:rPr>
        <w:fldChar w:fldCharType="separate"/>
      </w:r>
      <w:r>
        <w:rPr>
          <w:rFonts w:ascii="Arial" w:hAnsi="Arial" w:cs="Arial"/>
        </w:rPr>
        <w:t>50</w:t>
      </w:r>
      <w:r>
        <w:rPr>
          <w:rFonts w:ascii="Arial" w:hAnsi="Arial" w:cs="Arial"/>
        </w:rPr>
        <w:fldChar w:fldCharType="end"/>
      </w:r>
      <w:r>
        <w:rPr>
          <w:rFonts w:ascii="Arial" w:hAnsi="Arial" w:cs="Arial"/>
        </w:rPr>
        <w:t xml:space="preserve"> této Smlouvy účastnit provádění akceptačních testů, odpovídat bez zbytečného odkladu na dotazy vznesené Objednatelem, poskytovat Objednateli za účelem provedení akceptačních testů, testovacího provozu nebo jiného převzetí a ověření vlastností díla uživatelskou podporu.</w:t>
      </w:r>
    </w:p>
    <w:p>
      <w:pPr>
        <w:pStyle w:val="Odstavecseseznamem"/>
        <w:numPr>
          <w:ilvl w:val="0"/>
          <w:numId w:val="1"/>
        </w:numPr>
        <w:spacing w:after="240" w:line="276" w:lineRule="auto"/>
        <w:contextualSpacing w:val="0"/>
        <w:jc w:val="both"/>
        <w:rPr>
          <w:rFonts w:ascii="Arial" w:hAnsi="Arial" w:cs="Arial"/>
        </w:rPr>
      </w:pPr>
      <w:bookmarkStart w:id="46" w:name="_Ref223351860"/>
      <w:r>
        <w:rPr>
          <w:rFonts w:ascii="Arial" w:hAnsi="Arial" w:cs="Arial"/>
        </w:rPr>
        <w:t>Dodavatel se zavazuje vést písemně seznam požadavků k řešení ve vztahu k vytvoření, rozvoji nebo provozu Nových webových stránek dle této Smlouvy (tzv. </w:t>
      </w:r>
      <w:proofErr w:type="spellStart"/>
      <w:r>
        <w:rPr>
          <w:rFonts w:ascii="Arial" w:hAnsi="Arial" w:cs="Arial"/>
        </w:rPr>
        <w:t>backlog</w:t>
      </w:r>
      <w:proofErr w:type="spellEnd"/>
      <w:r>
        <w:rPr>
          <w:rFonts w:ascii="Arial" w:hAnsi="Arial" w:cs="Arial"/>
        </w:rPr>
        <w:t xml:space="preserve">). Do tohoto </w:t>
      </w:r>
      <w:proofErr w:type="spellStart"/>
      <w:r>
        <w:rPr>
          <w:rFonts w:ascii="Arial" w:hAnsi="Arial" w:cs="Arial"/>
        </w:rPr>
        <w:t>backlogu</w:t>
      </w:r>
      <w:proofErr w:type="spellEnd"/>
      <w:r>
        <w:rPr>
          <w:rFonts w:ascii="Arial" w:hAnsi="Arial" w:cs="Arial"/>
        </w:rPr>
        <w:t xml:space="preserve"> budou zařazovány požadavky, které nebudou zařazeny do příslušné Objednávky postupem dle odst. </w:t>
      </w:r>
      <w:r>
        <w:rPr>
          <w:rFonts w:ascii="Arial" w:hAnsi="Arial" w:cs="Arial"/>
        </w:rPr>
        <w:fldChar w:fldCharType="begin"/>
      </w:r>
      <w:r>
        <w:rPr>
          <w:rFonts w:ascii="Arial" w:hAnsi="Arial" w:cs="Arial"/>
        </w:rPr>
        <w:instrText xml:space="preserve"> REF _Ref223347892 \r \h </w:instrText>
      </w:r>
      <w:r>
        <w:rPr>
          <w:rFonts w:ascii="Arial" w:hAnsi="Arial" w:cs="Arial"/>
        </w:rPr>
      </w:r>
      <w:r>
        <w:rPr>
          <w:rFonts w:ascii="Arial" w:hAnsi="Arial" w:cs="Arial"/>
        </w:rPr>
        <w:fldChar w:fldCharType="separate"/>
      </w:r>
      <w:r>
        <w:rPr>
          <w:rFonts w:ascii="Arial" w:hAnsi="Arial" w:cs="Arial"/>
        </w:rPr>
        <w:t>14</w:t>
      </w:r>
      <w:r>
        <w:rPr>
          <w:rFonts w:ascii="Arial" w:hAnsi="Arial" w:cs="Arial"/>
        </w:rPr>
        <w:fldChar w:fldCharType="end"/>
      </w:r>
      <w:r>
        <w:rPr>
          <w:rFonts w:ascii="Arial" w:hAnsi="Arial" w:cs="Arial"/>
        </w:rPr>
        <w:t xml:space="preserve"> této Smlouvy, nebo i jiné požadavky vznesené Objednatelem v průběhu trvání této Smlouvy, případně požadavky vzešlé z komunikace a spolupráce Stran. Dodavatel odpovídá za řádné a úplné zařazování a vedení (vč. případné aktualizace) požadavků v tomto </w:t>
      </w:r>
      <w:proofErr w:type="spellStart"/>
      <w:r>
        <w:rPr>
          <w:rFonts w:ascii="Arial" w:hAnsi="Arial" w:cs="Arial"/>
        </w:rPr>
        <w:t>backlogu</w:t>
      </w:r>
      <w:proofErr w:type="spellEnd"/>
      <w:r>
        <w:rPr>
          <w:rFonts w:ascii="Arial" w:hAnsi="Arial" w:cs="Arial"/>
        </w:rPr>
        <w:t xml:space="preserve"> a vedení údajů o jejich stavu (zejm. o tom, zda a jak byl požadavek vyřešen, do jaké Objednávky byl zařazen apod.).</w:t>
      </w:r>
      <w:bookmarkEnd w:id="46"/>
    </w:p>
    <w:p>
      <w:pPr>
        <w:pStyle w:val="Odstavecseseznamem"/>
        <w:keepNext/>
        <w:numPr>
          <w:ilvl w:val="0"/>
          <w:numId w:val="2"/>
        </w:numPr>
        <w:spacing w:before="240" w:after="240" w:line="276" w:lineRule="auto"/>
        <w:ind w:left="851" w:hanging="494"/>
        <w:contextualSpacing w:val="0"/>
        <w:jc w:val="center"/>
        <w:rPr>
          <w:rFonts w:ascii="Arial" w:hAnsi="Arial" w:cs="Arial"/>
          <w:b/>
          <w:bCs/>
        </w:rPr>
      </w:pPr>
      <w:r>
        <w:rPr>
          <w:rFonts w:ascii="Arial" w:hAnsi="Arial" w:cs="Arial"/>
          <w:b/>
          <w:bCs/>
        </w:rPr>
        <w:t>PROVOZ NOVÝCH WEBOVÝCH STRÁNEK</w:t>
      </w:r>
    </w:p>
    <w:p>
      <w:pPr>
        <w:pStyle w:val="Odstavecseseznamem"/>
        <w:numPr>
          <w:ilvl w:val="0"/>
          <w:numId w:val="1"/>
        </w:numPr>
        <w:spacing w:before="240" w:after="240" w:line="276" w:lineRule="auto"/>
        <w:contextualSpacing w:val="0"/>
        <w:jc w:val="both"/>
        <w:rPr>
          <w:rFonts w:ascii="Arial" w:hAnsi="Arial" w:cs="Arial"/>
          <w:color w:val="000000"/>
        </w:rPr>
      </w:pPr>
      <w:r>
        <w:rPr>
          <w:rFonts w:ascii="Arial" w:hAnsi="Arial" w:cs="Arial"/>
          <w:color w:val="000000"/>
        </w:rPr>
        <w:t>Část plnění Provoz zahrnuje následující činnosti Dodavatele:</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 xml:space="preserve">provoz Nových webových stránek v níže sjednané míře dostupnosti; provozem Nových webových stránek se rozumí provoz softwarových aplikací tvořících Nové webové stránky, včetně jejich částí, funkcionalit a komponent vytvořených nebo upravených v rámci Části plnění Vývoj, nikoliv jeho hosting či provoz serverů a dalšího hardware nezbytného k provozu Nových webových stránek. Všechny </w:t>
      </w:r>
      <w:r>
        <w:rPr>
          <w:rFonts w:ascii="Arial" w:hAnsi="Arial" w:cs="Arial"/>
          <w:color w:val="000000"/>
        </w:rPr>
        <w:lastRenderedPageBreak/>
        <w:t>použité nástroje (operační systém, DB apod.) pro provoz Nových webových stránek musí být pod správou a technickou podporou Dodavatele.</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řešení incidentů, které omezují funkčnost Nových webových stránek a jejichž příčina spočívá v plnění poskytovaném Dodavatelem podle této Smlouvy (dále jen „</w:t>
      </w:r>
      <w:r>
        <w:rPr>
          <w:rFonts w:ascii="Arial" w:hAnsi="Arial" w:cs="Arial"/>
          <w:b/>
          <w:color w:val="000000"/>
        </w:rPr>
        <w:t>Incident</w:t>
      </w:r>
      <w:r>
        <w:rPr>
          <w:rFonts w:ascii="Arial" w:hAnsi="Arial" w:cs="Arial"/>
          <w:color w:val="000000"/>
        </w:rPr>
        <w:t>“),</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zálohování veškerých dat Nových webových stránek (dále jen „</w:t>
      </w:r>
      <w:r>
        <w:rPr>
          <w:rFonts w:ascii="Arial" w:hAnsi="Arial" w:cs="Arial"/>
          <w:b/>
          <w:color w:val="000000"/>
        </w:rPr>
        <w:t>Zálohování</w:t>
      </w:r>
      <w:r>
        <w:rPr>
          <w:rFonts w:ascii="Arial" w:hAnsi="Arial" w:cs="Arial"/>
          <w:color w:val="000000"/>
        </w:rPr>
        <w:t>“),</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obnova dat Nových webových stránek, stanou-li se data Nových webových stránek z jakéhokoliv důvodu nedostupná (dále jen „</w:t>
      </w:r>
      <w:r>
        <w:rPr>
          <w:rFonts w:ascii="Arial" w:hAnsi="Arial" w:cs="Arial"/>
          <w:b/>
          <w:color w:val="000000"/>
        </w:rPr>
        <w:t>Obnova</w:t>
      </w:r>
      <w:r>
        <w:rPr>
          <w:rFonts w:ascii="Arial" w:hAnsi="Arial" w:cs="Arial"/>
          <w:color w:val="000000"/>
        </w:rPr>
        <w:t>“),</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poskytování uživatelských a jiných konzultací k provozu Nových webových stránek, provádění nastavení (nad rámec nastavení nutného k provozu) nebo jiného přizpůsobení Nových webových stránek dle pokynů v rámci možností Nových webových stránek (tj. bez nutnosti jeho vývoje či rozvoje) a další podpora obvyklá při provozu Nových webových stránek (dále jen „</w:t>
      </w:r>
      <w:r>
        <w:rPr>
          <w:rFonts w:ascii="Arial" w:hAnsi="Arial" w:cs="Arial"/>
          <w:b/>
          <w:color w:val="000000"/>
        </w:rPr>
        <w:t>Podpora</w:t>
      </w:r>
      <w:r>
        <w:rPr>
          <w:rFonts w:ascii="Arial" w:hAnsi="Arial" w:cs="Arial"/>
          <w:color w:val="000000"/>
        </w:rPr>
        <w:t xml:space="preserve">“). </w:t>
      </w:r>
    </w:p>
    <w:p>
      <w:pPr>
        <w:pStyle w:val="Odstavecseseznamem"/>
        <w:numPr>
          <w:ilvl w:val="0"/>
          <w:numId w:val="1"/>
        </w:numPr>
        <w:spacing w:before="240" w:after="240" w:line="276" w:lineRule="auto"/>
        <w:contextualSpacing w:val="0"/>
        <w:jc w:val="both"/>
        <w:rPr>
          <w:rFonts w:ascii="Arial" w:hAnsi="Arial" w:cs="Arial"/>
          <w:color w:val="000000"/>
        </w:rPr>
      </w:pPr>
      <w:bookmarkStart w:id="47" w:name="_Ref223317870"/>
      <w:bookmarkStart w:id="48" w:name="_Hlk223706976"/>
      <w:r>
        <w:rPr>
          <w:rFonts w:ascii="Arial" w:hAnsi="Arial" w:cs="Arial"/>
          <w:color w:val="000000"/>
        </w:rPr>
        <w:t xml:space="preserve">Dodavatel se zavazuje zajistit provoz aplikace [aplikace, runtime / aplikační platforma (DB, </w:t>
      </w:r>
      <w:proofErr w:type="spellStart"/>
      <w:r>
        <w:rPr>
          <w:rFonts w:ascii="Arial" w:hAnsi="Arial" w:cs="Arial"/>
          <w:color w:val="000000"/>
        </w:rPr>
        <w:t>middleware</w:t>
      </w:r>
      <w:proofErr w:type="spellEnd"/>
      <w:r>
        <w:rPr>
          <w:rFonts w:ascii="Arial" w:hAnsi="Arial" w:cs="Arial"/>
          <w:color w:val="000000"/>
        </w:rPr>
        <w:t>)] Nových webových stránek tak, aby byla aplikace Nových webových stránek dostupná ve všech svých funkcích uživatelům prostřednictvím sítě internet, a to v míře dostupnosti 96 % za kalendářní měsíc.</w:t>
      </w:r>
      <w:bookmarkEnd w:id="47"/>
    </w:p>
    <w:bookmarkEnd w:id="48"/>
    <w:p>
      <w:pPr>
        <w:pStyle w:val="Odstavecseseznamem"/>
        <w:numPr>
          <w:ilvl w:val="0"/>
          <w:numId w:val="1"/>
        </w:numPr>
        <w:spacing w:before="240" w:after="240" w:line="276" w:lineRule="auto"/>
        <w:contextualSpacing w:val="0"/>
        <w:jc w:val="both"/>
        <w:rPr>
          <w:rFonts w:ascii="Arial" w:hAnsi="Arial" w:cs="Arial"/>
          <w:color w:val="000000"/>
        </w:rPr>
      </w:pPr>
      <w:r>
        <w:rPr>
          <w:rFonts w:ascii="Arial" w:hAnsi="Arial" w:cs="Arial"/>
          <w:color w:val="000000"/>
        </w:rPr>
        <w:t xml:space="preserve">Dodavatel je oprávněn v rámci Části plnění Provoz provádět odstávky Nových webových stránek v rozsahu 3 hodin za kalendářní měsíc. Odstávku musí Dodavatel s Objednatelem domluvit vždy nejméně 14 pracovních dní předem. Nedostupnost nebo omezení funkčnosti Nových webových stránek z důvodu odstávky prováděné v souladu s tímto ustanovením, se nezapočítává do míry dostupnosti Nových webových stránek dle odst. </w:t>
      </w:r>
      <w:r>
        <w:rPr>
          <w:rFonts w:ascii="Arial" w:hAnsi="Arial" w:cs="Arial"/>
          <w:color w:val="000000"/>
        </w:rPr>
        <w:fldChar w:fldCharType="begin"/>
      </w:r>
      <w:r>
        <w:rPr>
          <w:rFonts w:ascii="Arial" w:hAnsi="Arial" w:cs="Arial"/>
          <w:color w:val="000000"/>
        </w:rPr>
        <w:instrText xml:space="preserve"> REF _Ref223317870 \r \h </w:instrText>
      </w:r>
      <w:r>
        <w:rPr>
          <w:rFonts w:ascii="Arial" w:hAnsi="Arial" w:cs="Arial"/>
          <w:color w:val="000000"/>
        </w:rPr>
      </w:r>
      <w:r>
        <w:rPr>
          <w:rFonts w:ascii="Arial" w:hAnsi="Arial" w:cs="Arial"/>
          <w:color w:val="000000"/>
        </w:rPr>
        <w:fldChar w:fldCharType="separate"/>
      </w:r>
      <w:r>
        <w:rPr>
          <w:rFonts w:ascii="Arial" w:hAnsi="Arial" w:cs="Arial"/>
          <w:color w:val="000000"/>
        </w:rPr>
        <w:t>23</w:t>
      </w:r>
      <w:r>
        <w:rPr>
          <w:rFonts w:ascii="Arial" w:hAnsi="Arial" w:cs="Arial"/>
          <w:color w:val="000000"/>
        </w:rPr>
        <w:fldChar w:fldCharType="end"/>
      </w:r>
      <w:r>
        <w:rPr>
          <w:rFonts w:ascii="Arial" w:hAnsi="Arial" w:cs="Arial"/>
          <w:color w:val="000000"/>
        </w:rPr>
        <w:t xml:space="preserve"> této Smlouvy.</w:t>
      </w:r>
    </w:p>
    <w:p>
      <w:pPr>
        <w:pStyle w:val="Odstavecseseznamem"/>
        <w:numPr>
          <w:ilvl w:val="0"/>
          <w:numId w:val="1"/>
        </w:numPr>
        <w:spacing w:before="240" w:after="240" w:line="276" w:lineRule="auto"/>
        <w:contextualSpacing w:val="0"/>
        <w:jc w:val="both"/>
        <w:rPr>
          <w:rFonts w:ascii="Arial" w:hAnsi="Arial" w:cs="Arial"/>
          <w:color w:val="000000"/>
        </w:rPr>
      </w:pPr>
      <w:bookmarkStart w:id="49" w:name="_Ref223356604"/>
      <w:r>
        <w:rPr>
          <w:rFonts w:ascii="Arial" w:hAnsi="Arial" w:cs="Arial"/>
          <w:color w:val="000000"/>
        </w:rPr>
        <w:t>Dodavatel neodpovídá za nedostupnost Nových webových stránek:</w:t>
      </w:r>
      <w:bookmarkEnd w:id="49"/>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způsobenou zásahy Objednatele, které jsou v rozporu s dokumentací předanou Objednateli, nebo neoprávněnými zásahy třetí osoby,</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způsobenou výpadky nebo závadami hostingu, serverů, síťové či jiné infrastrukturní části nezbytné k provozu Nových webových stránek, která není spravována Dodavatelem; nebo</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vzniklou z důvodů ležících na straně dodávek třetí osoby nezbytných pro fungování Nových webových stránek, zejm. z důvodu výpadku internetového připojení nebo elektrické energie.</w:t>
      </w:r>
    </w:p>
    <w:p>
      <w:pPr>
        <w:spacing w:before="240" w:after="240" w:line="276" w:lineRule="auto"/>
        <w:ind w:left="567"/>
        <w:jc w:val="both"/>
        <w:rPr>
          <w:rFonts w:ascii="Arial" w:hAnsi="Arial" w:cs="Arial"/>
          <w:color w:val="000000"/>
        </w:rPr>
      </w:pPr>
      <w:r>
        <w:rPr>
          <w:rFonts w:ascii="Arial" w:hAnsi="Arial" w:cs="Arial"/>
          <w:color w:val="000000"/>
        </w:rPr>
        <w:t xml:space="preserve">Nedostupnost nebo omezení funkčnosti Nových webových stránek z těchto důvodů se nezapočítává do míry dostupnosti Nových webových stránek dle odst. </w:t>
      </w:r>
      <w:r>
        <w:rPr>
          <w:rFonts w:ascii="Arial" w:hAnsi="Arial" w:cs="Arial"/>
          <w:color w:val="000000"/>
        </w:rPr>
        <w:fldChar w:fldCharType="begin"/>
      </w:r>
      <w:r>
        <w:rPr>
          <w:rFonts w:ascii="Arial" w:hAnsi="Arial" w:cs="Arial"/>
          <w:color w:val="000000"/>
        </w:rPr>
        <w:instrText xml:space="preserve"> REF _Ref223317870 \r \h </w:instrText>
      </w:r>
      <w:r>
        <w:rPr>
          <w:rFonts w:ascii="Arial" w:hAnsi="Arial" w:cs="Arial"/>
          <w:color w:val="000000"/>
        </w:rPr>
      </w:r>
      <w:r>
        <w:rPr>
          <w:rFonts w:ascii="Arial" w:hAnsi="Arial" w:cs="Arial"/>
          <w:color w:val="000000"/>
        </w:rPr>
        <w:fldChar w:fldCharType="separate"/>
      </w:r>
      <w:r>
        <w:rPr>
          <w:rFonts w:ascii="Arial" w:hAnsi="Arial" w:cs="Arial"/>
          <w:color w:val="000000"/>
        </w:rPr>
        <w:t>23</w:t>
      </w:r>
      <w:r>
        <w:rPr>
          <w:rFonts w:ascii="Arial" w:hAnsi="Arial" w:cs="Arial"/>
          <w:color w:val="000000"/>
        </w:rPr>
        <w:fldChar w:fldCharType="end"/>
      </w:r>
      <w:r>
        <w:rPr>
          <w:rFonts w:ascii="Arial" w:hAnsi="Arial" w:cs="Arial"/>
          <w:color w:val="000000"/>
        </w:rPr>
        <w:t xml:space="preserve"> této Smlouvy. </w:t>
      </w:r>
    </w:p>
    <w:p>
      <w:pPr>
        <w:pStyle w:val="Odstavecseseznamem"/>
        <w:numPr>
          <w:ilvl w:val="0"/>
          <w:numId w:val="1"/>
        </w:numPr>
        <w:spacing w:before="240" w:after="240" w:line="276" w:lineRule="auto"/>
        <w:contextualSpacing w:val="0"/>
        <w:jc w:val="both"/>
        <w:rPr>
          <w:rFonts w:ascii="Arial" w:hAnsi="Arial" w:cs="Arial"/>
          <w:color w:val="000000" w:themeColor="text1"/>
        </w:rPr>
      </w:pPr>
      <w:bookmarkStart w:id="50" w:name="_Ref223318369"/>
      <w:r>
        <w:rPr>
          <w:rFonts w:ascii="Arial" w:hAnsi="Arial" w:cs="Arial"/>
          <w:color w:val="000000" w:themeColor="text1"/>
        </w:rPr>
        <w:t xml:space="preserve">Zjistí-li Dodavatel nedostupnost nebo omezení funkčnosti Nových webových stránek, za které nenese odpovědnost dle odst. </w:t>
      </w:r>
      <w:r>
        <w:rPr>
          <w:rFonts w:ascii="Arial" w:hAnsi="Arial" w:cs="Arial"/>
          <w:color w:val="000000" w:themeColor="text1"/>
        </w:rPr>
        <w:fldChar w:fldCharType="begin"/>
      </w:r>
      <w:r>
        <w:rPr>
          <w:rFonts w:ascii="Arial" w:hAnsi="Arial" w:cs="Arial"/>
          <w:color w:val="000000" w:themeColor="text1"/>
        </w:rPr>
        <w:instrText xml:space="preserve"> REF _Ref223356604 \r \h </w:instrText>
      </w:r>
      <w:r>
        <w:rPr>
          <w:rFonts w:ascii="Arial" w:hAnsi="Arial" w:cs="Arial"/>
          <w:color w:val="000000" w:themeColor="text1"/>
        </w:rPr>
      </w:r>
      <w:r>
        <w:rPr>
          <w:rFonts w:ascii="Arial" w:hAnsi="Arial" w:cs="Arial"/>
          <w:color w:val="000000" w:themeColor="text1"/>
        </w:rPr>
        <w:fldChar w:fldCharType="separate"/>
      </w:r>
      <w:r>
        <w:rPr>
          <w:rFonts w:ascii="Arial" w:hAnsi="Arial" w:cs="Arial"/>
          <w:color w:val="000000" w:themeColor="text1"/>
        </w:rPr>
        <w:t>25</w:t>
      </w:r>
      <w:r>
        <w:rPr>
          <w:rFonts w:ascii="Arial" w:hAnsi="Arial" w:cs="Arial"/>
          <w:color w:val="000000" w:themeColor="text1"/>
        </w:rPr>
        <w:fldChar w:fldCharType="end"/>
      </w:r>
      <w:r>
        <w:rPr>
          <w:rFonts w:ascii="Arial" w:hAnsi="Arial" w:cs="Arial"/>
          <w:color w:val="000000" w:themeColor="text1"/>
        </w:rPr>
        <w:t xml:space="preserve"> této Smlouvy, je povinen o této skutečnosti bez zbytečného odkladu informovat Objednatele, uvést pravděpodobnou příčinu a označit </w:t>
      </w:r>
      <w:r>
        <w:rPr>
          <w:rFonts w:ascii="Arial" w:hAnsi="Arial" w:cs="Arial"/>
          <w:color w:val="000000" w:themeColor="text1"/>
        </w:rPr>
        <w:lastRenderedPageBreak/>
        <w:t>subjekt, v jehož sféře se příčina nachází. Má-li závada původ v infrastruktuře nebo ve službě třetí osoby, předá Dodavatel oznámení o závadě příslušné třetí osobě a po jejím odstranění ověří funkčnost Nových webových stránek a informuje o tom Objednatele.</w:t>
      </w:r>
    </w:p>
    <w:p>
      <w:pPr>
        <w:pStyle w:val="Odstavecseseznamem"/>
        <w:numPr>
          <w:ilvl w:val="0"/>
          <w:numId w:val="1"/>
        </w:numPr>
        <w:spacing w:before="240" w:after="240" w:line="276" w:lineRule="auto"/>
        <w:contextualSpacing w:val="0"/>
        <w:jc w:val="both"/>
        <w:rPr>
          <w:rFonts w:ascii="Arial" w:hAnsi="Arial" w:cs="Arial"/>
          <w:color w:val="000000" w:themeColor="text1"/>
        </w:rPr>
      </w:pPr>
      <w:bookmarkStart w:id="51" w:name="_Ref166762707"/>
      <w:bookmarkStart w:id="52" w:name="_Ref223357889"/>
      <w:bookmarkStart w:id="53" w:name="_Hlk223707306"/>
      <w:r>
        <w:rPr>
          <w:rFonts w:ascii="Arial" w:hAnsi="Arial" w:cs="Arial"/>
        </w:rPr>
        <w:t>Dodavatel zajistí dostupnost a provoz komunikačního nástroje, aby Objednatel mohl činit požadavky na řešení vad a jiné požadavky dle této Smlouvy v provozní době a způsobem dle tohoto čl. Smlouvy (dále též „</w:t>
      </w:r>
      <w:r>
        <w:rPr>
          <w:rFonts w:ascii="Arial" w:hAnsi="Arial" w:cs="Arial"/>
          <w:b/>
          <w:bCs/>
        </w:rPr>
        <w:t>Helpdesk</w:t>
      </w:r>
      <w:r>
        <w:rPr>
          <w:rFonts w:ascii="Arial" w:hAnsi="Arial" w:cs="Arial"/>
        </w:rPr>
        <w:t>“).</w:t>
      </w:r>
      <w:bookmarkEnd w:id="51"/>
      <w:r>
        <w:rPr>
          <w:rFonts w:ascii="Arial" w:hAnsi="Arial" w:cs="Arial"/>
        </w:rPr>
        <w:t xml:space="preserve"> Dodavatel se zavazuje vést a uchovávat po dobu trvání této Smlouvy úplnou evidenci všech požadavků a souvisejících záznamů, zejm. záznamů navazující komunikace mezi Smluvními stranami. Dodavatel poskytne Objednateli na jeho žádost do 5 pracovních dní zálohu této evidence. Záloha bude poskytnuta ve formátu běžně dostupném a čitelném prostřednictvím elektronické zprávy nebo datového uložiště zvoleného Objednatelem, nedohodnou-li se Smluvní strany jinak</w:t>
      </w:r>
    </w:p>
    <w:p>
      <w:pPr>
        <w:pStyle w:val="Odstavecseseznamem"/>
        <w:numPr>
          <w:ilvl w:val="0"/>
          <w:numId w:val="1"/>
        </w:numPr>
        <w:spacing w:before="240" w:after="240" w:line="276" w:lineRule="auto"/>
        <w:contextualSpacing w:val="0"/>
        <w:jc w:val="both"/>
        <w:rPr>
          <w:rFonts w:ascii="Arial" w:hAnsi="Arial" w:cs="Arial"/>
          <w:color w:val="000000" w:themeColor="text1"/>
        </w:rPr>
      </w:pPr>
      <w:bookmarkStart w:id="54" w:name="_Ref225341929"/>
      <w:r>
        <w:rPr>
          <w:rFonts w:ascii="Arial" w:hAnsi="Arial" w:cs="Arial"/>
          <w:color w:val="000000" w:themeColor="text1"/>
        </w:rPr>
        <w:t xml:space="preserve">Objednatel bude zasílat požadavky, </w:t>
      </w:r>
      <w:r>
        <w:rPr>
          <w:rFonts w:ascii="Arial" w:hAnsi="Arial" w:cs="Arial"/>
        </w:rPr>
        <w:t>a to prostřednictvím Helpdesku</w:t>
      </w:r>
      <w:r>
        <w:rPr>
          <w:rFonts w:ascii="Arial" w:hAnsi="Arial" w:cs="Arial"/>
          <w:color w:val="000000" w:themeColor="text1"/>
        </w:rPr>
        <w:t xml:space="preserve">. Objednatel je oprávněn odesílat požadavky prostřednictvím Helpdesku v režimu 24/7. Dodavatel je povinen reagovat na požadavky Objednatele každý </w:t>
      </w:r>
      <w:r>
        <w:rPr>
          <w:rFonts w:ascii="Arial" w:hAnsi="Arial" w:cs="Arial"/>
          <w:b/>
          <w:bCs/>
          <w:color w:val="000000" w:themeColor="text1"/>
        </w:rPr>
        <w:t>pracovní den od 9:00 do 17:00</w:t>
      </w:r>
      <w:r>
        <w:rPr>
          <w:rFonts w:ascii="Arial" w:hAnsi="Arial" w:cs="Arial"/>
          <w:color w:val="000000" w:themeColor="text1"/>
        </w:rPr>
        <w:t>.</w:t>
      </w:r>
      <w:bookmarkEnd w:id="50"/>
      <w:bookmarkEnd w:id="52"/>
      <w:bookmarkEnd w:id="54"/>
      <w:r>
        <w:rPr>
          <w:rFonts w:ascii="Arial" w:hAnsi="Arial" w:cs="Arial"/>
          <w:color w:val="000000" w:themeColor="text1"/>
        </w:rPr>
        <w:t xml:space="preserve"> </w:t>
      </w:r>
    </w:p>
    <w:p>
      <w:pPr>
        <w:pStyle w:val="Odstavecseseznamem"/>
        <w:numPr>
          <w:ilvl w:val="0"/>
          <w:numId w:val="1"/>
        </w:numPr>
        <w:spacing w:before="240" w:after="240" w:line="276" w:lineRule="auto"/>
        <w:contextualSpacing w:val="0"/>
        <w:jc w:val="both"/>
        <w:rPr>
          <w:rFonts w:ascii="Arial" w:hAnsi="Arial" w:cs="Arial"/>
          <w:color w:val="000000"/>
        </w:rPr>
      </w:pPr>
      <w:bookmarkStart w:id="55" w:name="_Ref223352361"/>
      <w:bookmarkEnd w:id="53"/>
      <w:r>
        <w:rPr>
          <w:rFonts w:ascii="Arial" w:hAnsi="Arial" w:cs="Arial"/>
          <w:color w:val="000000"/>
        </w:rPr>
        <w:t>Dodavatel se zavazuje vést a uchovávat po dobu trvání této Smlouvy úplnou evidenci všech požadavků a souvisejících záznamů, zejm. záznamů navazující komunikace mezi Stranami. Dodavatel poskytne Objednateli na jeho žádost do 10 pracovních dní zálohu této evidence. Záloha bude poskytnuta ve formátu běžně dostupném a čitelném prostřednictvím elektronické zprávy nebo datového uložiště zvoleného Objednatelem, nedohodnou-li se Strany jinak.</w:t>
      </w:r>
      <w:bookmarkEnd w:id="55"/>
    </w:p>
    <w:p>
      <w:pPr>
        <w:pStyle w:val="Odstavecseseznamem"/>
        <w:numPr>
          <w:ilvl w:val="0"/>
          <w:numId w:val="1"/>
        </w:numPr>
        <w:spacing w:before="240" w:after="240" w:line="276" w:lineRule="auto"/>
        <w:contextualSpacing w:val="0"/>
        <w:jc w:val="both"/>
        <w:rPr>
          <w:rFonts w:ascii="Arial" w:hAnsi="Arial" w:cs="Arial"/>
          <w:color w:val="000000"/>
        </w:rPr>
      </w:pPr>
      <w:bookmarkStart w:id="56" w:name="_Ref223536349"/>
      <w:bookmarkStart w:id="57" w:name="_Hlk223707450"/>
      <w:r>
        <w:rPr>
          <w:rFonts w:ascii="Arial" w:hAnsi="Arial" w:cs="Arial"/>
          <w:color w:val="000000"/>
        </w:rPr>
        <w:t>Řešení Incidentů bude probíhat dle následujících pravidel:</w:t>
      </w:r>
      <w:bookmarkEnd w:id="56"/>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 xml:space="preserve">Objednatel zadá požadavek na řešení Incidentu postupem dle odst. </w:t>
      </w:r>
      <w:r>
        <w:rPr>
          <w:rFonts w:ascii="Arial" w:hAnsi="Arial" w:cs="Arial"/>
          <w:color w:val="000000"/>
        </w:rPr>
        <w:fldChar w:fldCharType="begin"/>
      </w:r>
      <w:r>
        <w:rPr>
          <w:rFonts w:ascii="Arial" w:hAnsi="Arial" w:cs="Arial"/>
          <w:color w:val="000000"/>
        </w:rPr>
        <w:instrText xml:space="preserve"> REF _Ref223318369 \r \h </w:instrText>
      </w:r>
      <w:r>
        <w:rPr>
          <w:rFonts w:ascii="Arial" w:hAnsi="Arial" w:cs="Arial"/>
          <w:color w:val="000000"/>
        </w:rPr>
      </w:r>
      <w:r>
        <w:rPr>
          <w:rFonts w:ascii="Arial" w:hAnsi="Arial" w:cs="Arial"/>
          <w:color w:val="000000"/>
        </w:rPr>
        <w:fldChar w:fldCharType="separate"/>
      </w:r>
      <w:r>
        <w:rPr>
          <w:rFonts w:ascii="Arial" w:hAnsi="Arial" w:cs="Arial"/>
          <w:color w:val="000000"/>
        </w:rPr>
        <w:t>26</w:t>
      </w:r>
      <w:r>
        <w:rPr>
          <w:rFonts w:ascii="Arial" w:hAnsi="Arial" w:cs="Arial"/>
          <w:color w:val="000000"/>
        </w:rPr>
        <w:fldChar w:fldCharType="end"/>
      </w:r>
      <w:r>
        <w:rPr>
          <w:rFonts w:ascii="Arial" w:hAnsi="Arial" w:cs="Arial"/>
          <w:color w:val="000000"/>
        </w:rPr>
        <w:t xml:space="preserve"> této Smlouvy. Požadavek na řešení Incidentu musí obsahovat popis Incidentu, zejm. toho, jak a v jakých situacích se Incident projevuje, a všechny ostatní Objednateli dostupné informace o Incidentu. Dodavatel ve lhůtě dále uvedené provede předběžné posouzení Incidentu dle informací poskytnutých Objednatelem v rámci požadavku a odešle Objednateli prvotní reakci na jeho požadavek, v níž informuje Objednatele o okolnostech podstatných pro řešení Incidentu a případně, neobsahuje-li požadavek Objednatele potřebné informace, vyzve Objednatele k doplnění (tato lhůta dále jen „</w:t>
      </w:r>
      <w:r>
        <w:rPr>
          <w:rFonts w:ascii="Arial" w:hAnsi="Arial" w:cs="Arial"/>
          <w:b/>
          <w:bCs/>
          <w:color w:val="000000"/>
        </w:rPr>
        <w:t>Reakční lhůta</w:t>
      </w:r>
      <w:r>
        <w:rPr>
          <w:rFonts w:ascii="Arial" w:hAnsi="Arial" w:cs="Arial"/>
          <w:color w:val="000000"/>
        </w:rPr>
        <w:t>“).</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Dodavatel ve lhůtě dále uvedené odstraní příčinu vzniku Incidentu nebo jinak obnoví funkčnost Nových webových stránek (tato lhůta dále jen „</w:t>
      </w:r>
      <w:r>
        <w:rPr>
          <w:rFonts w:ascii="Arial" w:hAnsi="Arial" w:cs="Arial"/>
          <w:b/>
          <w:color w:val="000000"/>
        </w:rPr>
        <w:t>Lhůta pro řešení</w:t>
      </w:r>
      <w:r>
        <w:rPr>
          <w:rFonts w:ascii="Arial" w:hAnsi="Arial" w:cs="Arial"/>
          <w:color w:val="000000"/>
        </w:rPr>
        <w:t xml:space="preserve">“). Má-li obnovení funkčnosti Nových webových stránek povahu náhradního řešení, které neodstraňuje příčinu vzniku incidentu (tzv. </w:t>
      </w:r>
      <w:proofErr w:type="spellStart"/>
      <w:r>
        <w:rPr>
          <w:rFonts w:ascii="Arial" w:hAnsi="Arial" w:cs="Arial"/>
          <w:color w:val="000000"/>
        </w:rPr>
        <w:t>workaround</w:t>
      </w:r>
      <w:proofErr w:type="spellEnd"/>
      <w:r>
        <w:rPr>
          <w:rFonts w:ascii="Arial" w:hAnsi="Arial" w:cs="Arial"/>
          <w:color w:val="000000"/>
        </w:rPr>
        <w:t xml:space="preserve">), má Dodavatel povinnost odstranit příčinu vzniku Incidentu v době přiměřené povaze této příčiny, neprokáže-li Objednateli, že </w:t>
      </w:r>
      <w:proofErr w:type="spellStart"/>
      <w:r>
        <w:rPr>
          <w:rFonts w:ascii="Arial" w:hAnsi="Arial" w:cs="Arial"/>
          <w:color w:val="000000"/>
        </w:rPr>
        <w:t>workaround</w:t>
      </w:r>
      <w:proofErr w:type="spellEnd"/>
      <w:r>
        <w:rPr>
          <w:rFonts w:ascii="Arial" w:hAnsi="Arial" w:cs="Arial"/>
          <w:color w:val="000000"/>
        </w:rPr>
        <w:t xml:space="preserve"> řešení nemá jiné negativní důsledky, a neodsouhlasí-li to Objednatel. Objednatel může jednostranně rozhodnout o tom, že zachová </w:t>
      </w:r>
      <w:proofErr w:type="spellStart"/>
      <w:r>
        <w:rPr>
          <w:rFonts w:ascii="Arial" w:hAnsi="Arial" w:cs="Arial"/>
          <w:color w:val="000000"/>
        </w:rPr>
        <w:t>workaround</w:t>
      </w:r>
      <w:proofErr w:type="spellEnd"/>
      <w:r>
        <w:rPr>
          <w:rFonts w:ascii="Arial" w:hAnsi="Arial" w:cs="Arial"/>
          <w:color w:val="000000"/>
        </w:rPr>
        <w:t xml:space="preserve"> řešení a že se příčina Incidentu odstraňovat nebude.</w:t>
      </w:r>
    </w:p>
    <w:p>
      <w:pPr>
        <w:pStyle w:val="Odstavecseseznamem"/>
        <w:numPr>
          <w:ilvl w:val="1"/>
          <w:numId w:val="1"/>
        </w:numPr>
        <w:spacing w:before="240" w:after="240" w:line="276" w:lineRule="auto"/>
        <w:contextualSpacing w:val="0"/>
        <w:jc w:val="both"/>
        <w:rPr>
          <w:rFonts w:ascii="Arial" w:hAnsi="Arial" w:cs="Arial"/>
          <w:color w:val="000000"/>
        </w:rPr>
      </w:pPr>
      <w:bookmarkStart w:id="58" w:name="_Ref223352189"/>
      <w:bookmarkStart w:id="59" w:name="_Ref223536298"/>
      <w:r>
        <w:rPr>
          <w:rFonts w:ascii="Arial" w:hAnsi="Arial" w:cs="Arial"/>
          <w:color w:val="000000"/>
        </w:rPr>
        <w:t>Délka Reakční lhůty a Lhůty pro řešení, nedohodnou-li se Strany jinak, je určena následující kategorizací Incidentů:</w:t>
      </w:r>
      <w:bookmarkEnd w:id="58"/>
      <w:bookmarkEnd w:id="59"/>
    </w:p>
    <w:tbl>
      <w:tblPr>
        <w:tblW w:w="821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56"/>
        <w:gridCol w:w="3068"/>
        <w:gridCol w:w="2693"/>
      </w:tblGrid>
      <w:tr>
        <w:trPr>
          <w:jc w:val="center"/>
        </w:trPr>
        <w:tc>
          <w:tcPr>
            <w:tcW w:w="2456" w:type="dxa"/>
            <w:tcBorders>
              <w:top w:val="single" w:sz="4" w:space="0" w:color="000000"/>
              <w:left w:val="single" w:sz="4" w:space="0" w:color="000000"/>
              <w:bottom w:val="single" w:sz="4" w:space="0" w:color="000000"/>
              <w:right w:val="single" w:sz="4" w:space="0" w:color="000000"/>
            </w:tcBorders>
            <w:vAlign w:val="center"/>
          </w:tcPr>
          <w:p>
            <w:pPr>
              <w:keepNext/>
              <w:keepLines/>
              <w:pBdr>
                <w:top w:val="nil"/>
                <w:left w:val="nil"/>
                <w:bottom w:val="nil"/>
                <w:right w:val="nil"/>
                <w:between w:val="nil"/>
              </w:pBdr>
              <w:spacing w:before="120" w:after="120"/>
              <w:ind w:left="709" w:hanging="709"/>
              <w:jc w:val="center"/>
              <w:rPr>
                <w:rFonts w:ascii="Arial" w:hAnsi="Arial" w:cs="Arial"/>
                <w:b/>
                <w:color w:val="000000"/>
                <w:highlight w:val="white"/>
              </w:rPr>
            </w:pPr>
            <w:bookmarkStart w:id="60" w:name="_Hlk223707516"/>
            <w:bookmarkEnd w:id="57"/>
            <w:r>
              <w:rPr>
                <w:rFonts w:ascii="Arial" w:hAnsi="Arial" w:cs="Arial"/>
                <w:b/>
                <w:color w:val="000000"/>
                <w:highlight w:val="white"/>
              </w:rPr>
              <w:lastRenderedPageBreak/>
              <w:t>Název kategorie</w:t>
            </w:r>
          </w:p>
        </w:tc>
        <w:tc>
          <w:tcPr>
            <w:tcW w:w="3068" w:type="dxa"/>
            <w:tcBorders>
              <w:top w:val="single" w:sz="4" w:space="0" w:color="000000"/>
              <w:left w:val="single" w:sz="4" w:space="0" w:color="000000"/>
              <w:bottom w:val="single" w:sz="4" w:space="0" w:color="000000"/>
              <w:right w:val="single" w:sz="4" w:space="0" w:color="000000"/>
            </w:tcBorders>
            <w:vAlign w:val="center"/>
          </w:tcPr>
          <w:p>
            <w:pPr>
              <w:keepNext/>
              <w:keepLines/>
              <w:pBdr>
                <w:top w:val="nil"/>
                <w:left w:val="nil"/>
                <w:bottom w:val="nil"/>
                <w:right w:val="nil"/>
                <w:between w:val="nil"/>
              </w:pBdr>
              <w:spacing w:before="120" w:after="120"/>
              <w:ind w:left="709" w:hanging="709"/>
              <w:jc w:val="center"/>
              <w:rPr>
                <w:rFonts w:ascii="Arial" w:hAnsi="Arial" w:cs="Arial"/>
                <w:b/>
                <w:color w:val="000000"/>
                <w:highlight w:val="white"/>
              </w:rPr>
            </w:pPr>
            <w:r>
              <w:rPr>
                <w:rFonts w:ascii="Arial" w:hAnsi="Arial" w:cs="Arial"/>
                <w:b/>
                <w:color w:val="000000"/>
                <w:highlight w:val="white"/>
              </w:rPr>
              <w:t>Reakční lhůta</w:t>
            </w:r>
          </w:p>
        </w:tc>
        <w:tc>
          <w:tcPr>
            <w:tcW w:w="2693" w:type="dxa"/>
            <w:tcBorders>
              <w:top w:val="single" w:sz="4" w:space="0" w:color="000000"/>
              <w:left w:val="single" w:sz="4" w:space="0" w:color="000000"/>
              <w:bottom w:val="single" w:sz="4" w:space="0" w:color="000000"/>
              <w:right w:val="single" w:sz="4" w:space="0" w:color="000000"/>
            </w:tcBorders>
            <w:vAlign w:val="center"/>
          </w:tcPr>
          <w:p>
            <w:pPr>
              <w:keepNext/>
              <w:keepLines/>
              <w:pBdr>
                <w:top w:val="nil"/>
                <w:left w:val="nil"/>
                <w:bottom w:val="nil"/>
                <w:right w:val="nil"/>
                <w:between w:val="nil"/>
              </w:pBdr>
              <w:spacing w:before="120" w:after="120"/>
              <w:ind w:left="709" w:hanging="709"/>
              <w:jc w:val="center"/>
              <w:rPr>
                <w:rFonts w:ascii="Arial" w:hAnsi="Arial" w:cs="Arial"/>
                <w:b/>
                <w:color w:val="000000"/>
                <w:highlight w:val="white"/>
              </w:rPr>
            </w:pPr>
            <w:r>
              <w:rPr>
                <w:rFonts w:ascii="Arial" w:hAnsi="Arial" w:cs="Arial"/>
                <w:b/>
                <w:color w:val="000000"/>
                <w:highlight w:val="white"/>
              </w:rPr>
              <w:t>Lhůta pro řešení</w:t>
            </w:r>
          </w:p>
        </w:tc>
      </w:tr>
      <w:tr>
        <w:trPr>
          <w:jc w:val="center"/>
        </w:trPr>
        <w:tc>
          <w:tcPr>
            <w:tcW w:w="2456" w:type="dxa"/>
            <w:tcBorders>
              <w:top w:val="single" w:sz="4" w:space="0" w:color="000000"/>
              <w:left w:val="single" w:sz="4" w:space="0" w:color="000000"/>
              <w:bottom w:val="single" w:sz="4" w:space="0" w:color="000000"/>
              <w:right w:val="single" w:sz="4" w:space="0" w:color="000000"/>
            </w:tcBorders>
            <w:vAlign w:val="center"/>
          </w:tcPr>
          <w:p>
            <w:pPr>
              <w:keepLines/>
              <w:pBdr>
                <w:top w:val="nil"/>
                <w:left w:val="nil"/>
                <w:bottom w:val="nil"/>
                <w:right w:val="nil"/>
                <w:between w:val="nil"/>
              </w:pBdr>
              <w:spacing w:before="120" w:after="120"/>
              <w:ind w:left="709" w:hanging="709"/>
              <w:jc w:val="center"/>
              <w:rPr>
                <w:rFonts w:ascii="Arial" w:hAnsi="Arial" w:cs="Arial"/>
                <w:b/>
                <w:color w:val="000000"/>
                <w:highlight w:val="white"/>
              </w:rPr>
            </w:pPr>
            <w:r>
              <w:rPr>
                <w:rFonts w:ascii="Arial" w:hAnsi="Arial" w:cs="Arial"/>
                <w:b/>
                <w:color w:val="000000"/>
                <w:highlight w:val="white"/>
              </w:rPr>
              <w:t>Incident úrovně A</w:t>
            </w:r>
          </w:p>
        </w:tc>
        <w:tc>
          <w:tcPr>
            <w:tcW w:w="3068" w:type="dxa"/>
            <w:tcBorders>
              <w:top w:val="single" w:sz="4" w:space="0" w:color="000000"/>
              <w:left w:val="single" w:sz="4" w:space="0" w:color="000000"/>
              <w:bottom w:val="single" w:sz="4" w:space="0" w:color="000000"/>
              <w:right w:val="single" w:sz="4" w:space="0" w:color="000000"/>
            </w:tcBorders>
            <w:vAlign w:val="center"/>
          </w:tcPr>
          <w:p>
            <w:pPr>
              <w:keepLines/>
              <w:pBdr>
                <w:top w:val="nil"/>
                <w:left w:val="nil"/>
                <w:bottom w:val="nil"/>
                <w:right w:val="nil"/>
                <w:between w:val="nil"/>
              </w:pBdr>
              <w:spacing w:before="120" w:after="120"/>
              <w:ind w:left="709" w:hanging="709"/>
              <w:jc w:val="center"/>
              <w:rPr>
                <w:rFonts w:ascii="Arial" w:hAnsi="Arial" w:cs="Arial"/>
                <w:color w:val="000000"/>
              </w:rPr>
            </w:pPr>
            <w:r>
              <w:rPr>
                <w:rFonts w:ascii="Arial" w:hAnsi="Arial" w:cs="Arial"/>
              </w:rPr>
              <w:t>3</w:t>
            </w:r>
            <w:r>
              <w:rPr>
                <w:rFonts w:ascii="Arial" w:hAnsi="Arial" w:cs="Arial"/>
                <w:color w:val="000000"/>
              </w:rPr>
              <w:t xml:space="preserve"> hodiny</w:t>
            </w:r>
          </w:p>
        </w:tc>
        <w:tc>
          <w:tcPr>
            <w:tcW w:w="2693" w:type="dxa"/>
            <w:tcBorders>
              <w:top w:val="single" w:sz="4" w:space="0" w:color="000000"/>
              <w:left w:val="single" w:sz="4" w:space="0" w:color="000000"/>
              <w:bottom w:val="single" w:sz="4" w:space="0" w:color="000000"/>
              <w:right w:val="single" w:sz="4" w:space="0" w:color="000000"/>
            </w:tcBorders>
            <w:vAlign w:val="center"/>
          </w:tcPr>
          <w:p>
            <w:pPr>
              <w:keepLines/>
              <w:pBdr>
                <w:top w:val="nil"/>
                <w:left w:val="nil"/>
                <w:bottom w:val="nil"/>
                <w:right w:val="nil"/>
                <w:between w:val="nil"/>
              </w:pBdr>
              <w:spacing w:before="120" w:after="120"/>
              <w:ind w:left="709" w:hanging="709"/>
              <w:jc w:val="center"/>
              <w:rPr>
                <w:rFonts w:ascii="Arial" w:hAnsi="Arial" w:cs="Arial"/>
                <w:color w:val="000000"/>
              </w:rPr>
            </w:pPr>
            <w:r>
              <w:rPr>
                <w:rFonts w:ascii="Arial" w:hAnsi="Arial" w:cs="Arial"/>
              </w:rPr>
              <w:t>5</w:t>
            </w:r>
            <w:r>
              <w:rPr>
                <w:rFonts w:ascii="Arial" w:hAnsi="Arial" w:cs="Arial"/>
                <w:color w:val="000000"/>
              </w:rPr>
              <w:t xml:space="preserve"> hodin</w:t>
            </w:r>
          </w:p>
        </w:tc>
      </w:tr>
      <w:tr>
        <w:trPr>
          <w:jc w:val="center"/>
        </w:trPr>
        <w:tc>
          <w:tcPr>
            <w:tcW w:w="2456" w:type="dxa"/>
            <w:tcBorders>
              <w:top w:val="single" w:sz="4" w:space="0" w:color="000000"/>
              <w:left w:val="single" w:sz="4" w:space="0" w:color="000000"/>
              <w:bottom w:val="single" w:sz="4" w:space="0" w:color="000000"/>
              <w:right w:val="single" w:sz="4" w:space="0" w:color="000000"/>
            </w:tcBorders>
            <w:vAlign w:val="center"/>
          </w:tcPr>
          <w:p>
            <w:pPr>
              <w:keepLines/>
              <w:pBdr>
                <w:top w:val="nil"/>
                <w:left w:val="nil"/>
                <w:bottom w:val="nil"/>
                <w:right w:val="nil"/>
                <w:between w:val="nil"/>
              </w:pBdr>
              <w:spacing w:before="120" w:after="120"/>
              <w:ind w:left="709" w:hanging="709"/>
              <w:jc w:val="center"/>
              <w:rPr>
                <w:rFonts w:ascii="Arial" w:hAnsi="Arial" w:cs="Arial"/>
                <w:b/>
                <w:color w:val="000000"/>
                <w:highlight w:val="white"/>
              </w:rPr>
            </w:pPr>
            <w:r>
              <w:rPr>
                <w:rFonts w:ascii="Arial" w:hAnsi="Arial" w:cs="Arial"/>
                <w:b/>
                <w:color w:val="000000"/>
                <w:highlight w:val="white"/>
              </w:rPr>
              <w:t>Incident úrovně B</w:t>
            </w:r>
          </w:p>
        </w:tc>
        <w:tc>
          <w:tcPr>
            <w:tcW w:w="3068" w:type="dxa"/>
            <w:tcBorders>
              <w:top w:val="single" w:sz="4" w:space="0" w:color="000000"/>
              <w:left w:val="single" w:sz="4" w:space="0" w:color="000000"/>
              <w:bottom w:val="single" w:sz="4" w:space="0" w:color="000000"/>
              <w:right w:val="single" w:sz="4" w:space="0" w:color="000000"/>
            </w:tcBorders>
            <w:vAlign w:val="center"/>
          </w:tcPr>
          <w:p>
            <w:pPr>
              <w:keepLines/>
              <w:pBdr>
                <w:top w:val="nil"/>
                <w:left w:val="nil"/>
                <w:bottom w:val="nil"/>
                <w:right w:val="nil"/>
                <w:between w:val="nil"/>
              </w:pBdr>
              <w:spacing w:before="120" w:after="120"/>
              <w:ind w:left="709" w:hanging="709"/>
              <w:jc w:val="center"/>
              <w:rPr>
                <w:rFonts w:ascii="Arial" w:hAnsi="Arial" w:cs="Arial"/>
                <w:color w:val="000000"/>
              </w:rPr>
            </w:pPr>
            <w:r>
              <w:rPr>
                <w:rFonts w:ascii="Arial" w:hAnsi="Arial" w:cs="Arial"/>
              </w:rPr>
              <w:t>8</w:t>
            </w:r>
            <w:r>
              <w:rPr>
                <w:rFonts w:ascii="Arial" w:hAnsi="Arial" w:cs="Arial"/>
                <w:color w:val="000000"/>
              </w:rPr>
              <w:t xml:space="preserve"> hodin</w:t>
            </w:r>
          </w:p>
        </w:tc>
        <w:tc>
          <w:tcPr>
            <w:tcW w:w="2693" w:type="dxa"/>
            <w:tcBorders>
              <w:top w:val="single" w:sz="4" w:space="0" w:color="000000"/>
              <w:left w:val="single" w:sz="4" w:space="0" w:color="000000"/>
              <w:bottom w:val="single" w:sz="4" w:space="0" w:color="000000"/>
              <w:right w:val="single" w:sz="4" w:space="0" w:color="000000"/>
            </w:tcBorders>
            <w:vAlign w:val="center"/>
          </w:tcPr>
          <w:p>
            <w:pPr>
              <w:keepLines/>
              <w:pBdr>
                <w:top w:val="nil"/>
                <w:left w:val="nil"/>
                <w:bottom w:val="nil"/>
                <w:right w:val="nil"/>
                <w:between w:val="nil"/>
              </w:pBdr>
              <w:spacing w:before="120" w:after="120"/>
              <w:ind w:left="709" w:hanging="709"/>
              <w:jc w:val="center"/>
              <w:rPr>
                <w:rFonts w:ascii="Arial" w:hAnsi="Arial" w:cs="Arial"/>
                <w:color w:val="000000"/>
              </w:rPr>
            </w:pPr>
            <w:r>
              <w:rPr>
                <w:rFonts w:ascii="Arial" w:hAnsi="Arial" w:cs="Arial"/>
                <w:color w:val="000000"/>
              </w:rPr>
              <w:t>5 pracovních dní</w:t>
            </w:r>
          </w:p>
        </w:tc>
      </w:tr>
      <w:tr>
        <w:trPr>
          <w:jc w:val="center"/>
        </w:trPr>
        <w:tc>
          <w:tcPr>
            <w:tcW w:w="2456" w:type="dxa"/>
            <w:tcBorders>
              <w:top w:val="single" w:sz="4" w:space="0" w:color="000000"/>
              <w:left w:val="single" w:sz="4" w:space="0" w:color="000000"/>
              <w:bottom w:val="single" w:sz="4" w:space="0" w:color="000000"/>
              <w:right w:val="single" w:sz="4" w:space="0" w:color="000000"/>
            </w:tcBorders>
            <w:vAlign w:val="center"/>
          </w:tcPr>
          <w:p>
            <w:pPr>
              <w:keepLines/>
              <w:pBdr>
                <w:top w:val="nil"/>
                <w:left w:val="nil"/>
                <w:bottom w:val="nil"/>
                <w:right w:val="nil"/>
                <w:between w:val="nil"/>
              </w:pBdr>
              <w:spacing w:before="120" w:after="120"/>
              <w:ind w:left="709" w:hanging="709"/>
              <w:jc w:val="center"/>
              <w:rPr>
                <w:rFonts w:ascii="Arial" w:hAnsi="Arial" w:cs="Arial"/>
                <w:b/>
                <w:color w:val="000000"/>
                <w:highlight w:val="white"/>
              </w:rPr>
            </w:pPr>
            <w:r>
              <w:rPr>
                <w:rFonts w:ascii="Arial" w:hAnsi="Arial" w:cs="Arial"/>
                <w:b/>
                <w:color w:val="000000"/>
                <w:highlight w:val="white"/>
              </w:rPr>
              <w:t>Incident úrovně C</w:t>
            </w:r>
          </w:p>
        </w:tc>
        <w:tc>
          <w:tcPr>
            <w:tcW w:w="3068" w:type="dxa"/>
            <w:tcBorders>
              <w:top w:val="single" w:sz="4" w:space="0" w:color="000000"/>
              <w:left w:val="single" w:sz="4" w:space="0" w:color="000000"/>
              <w:bottom w:val="single" w:sz="4" w:space="0" w:color="000000"/>
              <w:right w:val="single" w:sz="4" w:space="0" w:color="000000"/>
            </w:tcBorders>
            <w:vAlign w:val="center"/>
          </w:tcPr>
          <w:p>
            <w:pPr>
              <w:keepLines/>
              <w:pBdr>
                <w:top w:val="nil"/>
                <w:left w:val="nil"/>
                <w:bottom w:val="nil"/>
                <w:right w:val="nil"/>
                <w:between w:val="nil"/>
              </w:pBdr>
              <w:spacing w:before="120" w:after="120"/>
              <w:ind w:left="709" w:hanging="709"/>
              <w:jc w:val="center"/>
              <w:rPr>
                <w:rFonts w:ascii="Arial" w:hAnsi="Arial" w:cs="Arial"/>
                <w:color w:val="000000"/>
              </w:rPr>
            </w:pPr>
            <w:r>
              <w:rPr>
                <w:rFonts w:ascii="Arial" w:hAnsi="Arial" w:cs="Arial"/>
                <w:color w:val="000000"/>
              </w:rPr>
              <w:t>5 pracovních dní</w:t>
            </w:r>
          </w:p>
        </w:tc>
        <w:tc>
          <w:tcPr>
            <w:tcW w:w="2693" w:type="dxa"/>
            <w:tcBorders>
              <w:top w:val="single" w:sz="4" w:space="0" w:color="000000"/>
              <w:left w:val="single" w:sz="4" w:space="0" w:color="000000"/>
              <w:bottom w:val="single" w:sz="4" w:space="0" w:color="000000"/>
              <w:right w:val="single" w:sz="4" w:space="0" w:color="000000"/>
            </w:tcBorders>
            <w:vAlign w:val="center"/>
          </w:tcPr>
          <w:p>
            <w:pPr>
              <w:keepLines/>
              <w:pBdr>
                <w:top w:val="nil"/>
                <w:left w:val="nil"/>
                <w:bottom w:val="nil"/>
                <w:right w:val="nil"/>
                <w:between w:val="nil"/>
              </w:pBdr>
              <w:spacing w:before="120" w:after="120"/>
              <w:ind w:left="709" w:hanging="709"/>
              <w:jc w:val="center"/>
              <w:rPr>
                <w:rFonts w:ascii="Arial" w:hAnsi="Arial" w:cs="Arial"/>
                <w:color w:val="000000"/>
              </w:rPr>
            </w:pPr>
            <w:r>
              <w:rPr>
                <w:rFonts w:ascii="Arial" w:hAnsi="Arial" w:cs="Arial"/>
                <w:color w:val="000000"/>
              </w:rPr>
              <w:t>10 pracovních dní</w:t>
            </w:r>
          </w:p>
        </w:tc>
      </w:tr>
      <w:bookmarkEnd w:id="60"/>
    </w:tbl>
    <w:p>
      <w:pPr>
        <w:pStyle w:val="Odstavecseseznamem"/>
        <w:ind w:left="1701"/>
        <w:rPr>
          <w:rFonts w:ascii="Arial" w:hAnsi="Arial" w:cs="Arial"/>
          <w:color w:val="000000"/>
        </w:rPr>
      </w:pPr>
    </w:p>
    <w:p>
      <w:pPr>
        <w:pStyle w:val="Odstavecseseznamem"/>
        <w:numPr>
          <w:ilvl w:val="2"/>
          <w:numId w:val="1"/>
        </w:numPr>
        <w:rPr>
          <w:rFonts w:ascii="Arial" w:hAnsi="Arial" w:cs="Arial"/>
          <w:color w:val="000000"/>
        </w:rPr>
      </w:pPr>
      <w:r>
        <w:rPr>
          <w:rFonts w:ascii="Arial" w:hAnsi="Arial" w:cs="Arial"/>
          <w:color w:val="000000"/>
        </w:rPr>
        <w:t>Incidenty spadají do kategorií dle následujícího klíče:</w:t>
      </w:r>
    </w:p>
    <w:p>
      <w:pPr>
        <w:pStyle w:val="Odstavecseseznamem"/>
        <w:ind w:left="1701"/>
        <w:rPr>
          <w:rFonts w:ascii="Arial" w:hAnsi="Arial" w:cs="Arial"/>
          <w:color w:val="000000"/>
        </w:rPr>
      </w:pPr>
    </w:p>
    <w:p>
      <w:pPr>
        <w:pStyle w:val="Odstavecseseznamem"/>
        <w:numPr>
          <w:ilvl w:val="3"/>
          <w:numId w:val="1"/>
        </w:numPr>
        <w:ind w:left="2127" w:hanging="426"/>
        <w:jc w:val="both"/>
        <w:rPr>
          <w:rFonts w:ascii="Arial" w:hAnsi="Arial" w:cs="Arial"/>
          <w:color w:val="000000"/>
        </w:rPr>
      </w:pPr>
      <w:r>
        <w:rPr>
          <w:rFonts w:ascii="Arial" w:hAnsi="Arial" w:cs="Arial"/>
          <w:b/>
          <w:color w:val="000000"/>
        </w:rPr>
        <w:t xml:space="preserve">Incident úrovně A: </w:t>
      </w:r>
      <w:r>
        <w:rPr>
          <w:rFonts w:ascii="Arial" w:hAnsi="Arial" w:cs="Arial"/>
          <w:color w:val="000000"/>
          <w:lang w:val="cs"/>
        </w:rPr>
        <w:t>Všechny funkcionality nebo výrazná část funkcionalit Nových webových stránek je nefunkční nebo je jejich funkčnost výrazně omezena neúnosně dlouhou odpovědí serveru. Nové webové stránky neplní svůj hlavní účel (prezentace informací). Podrobně je tato závada popsána v příloze č. 1 této Smlouvy.</w:t>
      </w:r>
    </w:p>
    <w:p>
      <w:pPr>
        <w:pStyle w:val="Odstavecseseznamem"/>
        <w:ind w:left="2127" w:hanging="426"/>
        <w:jc w:val="both"/>
        <w:rPr>
          <w:rFonts w:ascii="Arial" w:hAnsi="Arial" w:cs="Arial"/>
          <w:color w:val="000000"/>
        </w:rPr>
      </w:pPr>
    </w:p>
    <w:p>
      <w:pPr>
        <w:pStyle w:val="Odstavecseseznamem"/>
        <w:numPr>
          <w:ilvl w:val="3"/>
          <w:numId w:val="1"/>
        </w:numPr>
        <w:ind w:left="2127" w:hanging="426"/>
        <w:jc w:val="both"/>
        <w:rPr>
          <w:rFonts w:ascii="Arial" w:hAnsi="Arial" w:cs="Arial"/>
          <w:color w:val="000000"/>
        </w:rPr>
      </w:pPr>
      <w:r>
        <w:rPr>
          <w:rFonts w:ascii="Arial" w:hAnsi="Arial" w:cs="Arial"/>
          <w:b/>
          <w:color w:val="000000"/>
        </w:rPr>
        <w:t>Incident úrovně B:</w:t>
      </w:r>
      <w:r>
        <w:rPr>
          <w:rFonts w:ascii="Arial" w:hAnsi="Arial" w:cs="Arial"/>
          <w:color w:val="000000"/>
        </w:rPr>
        <w:t xml:space="preserve"> </w:t>
      </w:r>
      <w:r>
        <w:rPr>
          <w:rFonts w:ascii="Arial" w:hAnsi="Arial" w:cs="Arial"/>
          <w:color w:val="000000"/>
          <w:lang w:val="cs"/>
        </w:rPr>
        <w:t>Nové webové stránky plní svůj hlavní účel (prezentace informací), ale některé doprovodné funkcionality jsou nefunkční nebo je jejich funkce omezena neúnosně dlouhou odpovědí serveru. Podrobně je tato závada popsána v příloze č. 1 této Smlouvy.</w:t>
      </w:r>
    </w:p>
    <w:p>
      <w:pPr>
        <w:pStyle w:val="Odstavecseseznamem"/>
        <w:ind w:left="2127" w:hanging="426"/>
        <w:jc w:val="both"/>
        <w:rPr>
          <w:rFonts w:ascii="Arial" w:hAnsi="Arial" w:cs="Arial"/>
          <w:color w:val="000000"/>
        </w:rPr>
      </w:pPr>
    </w:p>
    <w:p>
      <w:pPr>
        <w:pStyle w:val="Odstavecseseznamem"/>
        <w:numPr>
          <w:ilvl w:val="3"/>
          <w:numId w:val="1"/>
        </w:numPr>
        <w:ind w:left="2127" w:hanging="426"/>
        <w:jc w:val="both"/>
        <w:rPr>
          <w:rFonts w:ascii="Arial" w:hAnsi="Arial" w:cs="Arial"/>
          <w:color w:val="000000"/>
        </w:rPr>
      </w:pPr>
      <w:r>
        <w:rPr>
          <w:rFonts w:ascii="Arial" w:hAnsi="Arial" w:cs="Arial"/>
          <w:b/>
          <w:color w:val="000000"/>
        </w:rPr>
        <w:t>Incident úrovně C</w:t>
      </w:r>
      <w:r>
        <w:rPr>
          <w:rFonts w:ascii="Arial" w:hAnsi="Arial" w:cs="Arial"/>
          <w:color w:val="000000"/>
        </w:rPr>
        <w:t xml:space="preserve">: </w:t>
      </w:r>
      <w:r>
        <w:rPr>
          <w:rFonts w:ascii="Arial" w:hAnsi="Arial" w:cs="Arial"/>
          <w:color w:val="000000"/>
          <w:lang w:val="cs"/>
        </w:rPr>
        <w:t>Nové webové stránky a jejich doprovodné funkcionality nejsou omezeny, nebo jejich omezení má pouze zanedbatelný vliv hlavní účel (prezentace informací) a fungování Nových webových stránek. I tak ale současné chybné fungování neodpovídá specifikaci / grafickému návrhu nebo předchozí praxi. Podrobně je tato závada popsána v příloze č. 1 této Smlouvy.</w:t>
      </w:r>
    </w:p>
    <w:p>
      <w:pPr>
        <w:pStyle w:val="Odstavecseseznamem"/>
        <w:ind w:left="1560"/>
        <w:jc w:val="both"/>
        <w:rPr>
          <w:rFonts w:ascii="Arial" w:hAnsi="Arial" w:cs="Arial"/>
          <w:color w:val="000000"/>
        </w:rPr>
      </w:pPr>
    </w:p>
    <w:p>
      <w:pPr>
        <w:pStyle w:val="Odstavecseseznamem"/>
        <w:numPr>
          <w:ilvl w:val="1"/>
          <w:numId w:val="1"/>
        </w:numPr>
        <w:jc w:val="both"/>
        <w:rPr>
          <w:rFonts w:ascii="Arial" w:hAnsi="Arial" w:cs="Arial"/>
          <w:color w:val="000000"/>
        </w:rPr>
      </w:pPr>
      <w:r>
        <w:rPr>
          <w:rFonts w:ascii="Arial" w:hAnsi="Arial" w:cs="Arial"/>
          <w:color w:val="000000"/>
        </w:rPr>
        <w:t>Reakční lhůta a Lhůta pro řešení počíná běžet řádným doručením požadavku Objednatele učiněného v souladu s pravidly dle tohoto článku. Je-li požadavek doručen mimo provozní dobu dle odst. </w:t>
      </w:r>
      <w:r>
        <w:rPr>
          <w:rFonts w:ascii="Arial" w:hAnsi="Arial" w:cs="Arial"/>
          <w:color w:val="000000"/>
        </w:rPr>
        <w:fldChar w:fldCharType="begin"/>
      </w:r>
      <w:r>
        <w:rPr>
          <w:rFonts w:ascii="Arial" w:hAnsi="Arial" w:cs="Arial"/>
          <w:color w:val="000000"/>
        </w:rPr>
        <w:instrText xml:space="preserve"> REF _Ref223357889 \r \h </w:instrText>
      </w:r>
      <w:r>
        <w:rPr>
          <w:rFonts w:ascii="Arial" w:hAnsi="Arial" w:cs="Arial"/>
          <w:color w:val="000000"/>
        </w:rPr>
      </w:r>
      <w:r>
        <w:rPr>
          <w:rFonts w:ascii="Arial" w:hAnsi="Arial" w:cs="Arial"/>
          <w:color w:val="000000"/>
        </w:rPr>
        <w:fldChar w:fldCharType="separate"/>
      </w:r>
      <w:r>
        <w:rPr>
          <w:rFonts w:ascii="Arial" w:hAnsi="Arial" w:cs="Arial"/>
          <w:color w:val="000000"/>
        </w:rPr>
        <w:t>27</w:t>
      </w:r>
      <w:r>
        <w:rPr>
          <w:rFonts w:ascii="Arial" w:hAnsi="Arial" w:cs="Arial"/>
          <w:color w:val="000000"/>
        </w:rPr>
        <w:fldChar w:fldCharType="end"/>
      </w:r>
      <w:r>
        <w:rPr>
          <w:rFonts w:ascii="Arial" w:hAnsi="Arial" w:cs="Arial"/>
          <w:color w:val="000000"/>
        </w:rPr>
        <w:t xml:space="preserve"> této Smlouvy, počíná příslušná lhůta běžet s počátkem nejblíže následující provozní doby. Příslušná lhůta se prodlužuje o dobu čekání na odstranění nefunkčnosti souvisejících zařízení a systému, které spravuje Objednatel nebo třetí osoba.</w:t>
      </w:r>
    </w:p>
    <w:p>
      <w:pPr>
        <w:pStyle w:val="Odstavecseseznamem"/>
        <w:ind w:left="1134"/>
        <w:jc w:val="both"/>
        <w:rPr>
          <w:rFonts w:ascii="Arial" w:hAnsi="Arial" w:cs="Arial"/>
          <w:color w:val="000000"/>
        </w:rPr>
      </w:pPr>
    </w:p>
    <w:p>
      <w:pPr>
        <w:pStyle w:val="Odstavecseseznamem"/>
        <w:numPr>
          <w:ilvl w:val="0"/>
          <w:numId w:val="1"/>
        </w:numPr>
        <w:spacing w:before="240" w:after="240" w:line="276" w:lineRule="auto"/>
        <w:contextualSpacing w:val="0"/>
        <w:jc w:val="both"/>
        <w:rPr>
          <w:rFonts w:ascii="Arial" w:hAnsi="Arial" w:cs="Arial"/>
          <w:color w:val="000000"/>
        </w:rPr>
      </w:pPr>
      <w:bookmarkStart w:id="61" w:name="_Ref223553479"/>
      <w:bookmarkStart w:id="62" w:name="_Hlk223707567"/>
      <w:r>
        <w:rPr>
          <w:rFonts w:ascii="Arial" w:hAnsi="Arial" w:cs="Arial"/>
          <w:color w:val="000000"/>
        </w:rPr>
        <w:t xml:space="preserve">Dodavatel se zavazuje provádět Zálohování v rozsahu zálohy konfigurací, runtime / aplikační platformy (DB, </w:t>
      </w:r>
      <w:proofErr w:type="spellStart"/>
      <w:r>
        <w:rPr>
          <w:rFonts w:ascii="Arial" w:hAnsi="Arial" w:cs="Arial"/>
          <w:color w:val="000000"/>
        </w:rPr>
        <w:t>middleware</w:t>
      </w:r>
      <w:proofErr w:type="spellEnd"/>
      <w:r>
        <w:rPr>
          <w:rFonts w:ascii="Arial" w:hAnsi="Arial" w:cs="Arial"/>
          <w:color w:val="000000"/>
        </w:rPr>
        <w:t xml:space="preserve">). Objednatel bere na vědomí, že funkčnost Nových webových stránek může být v době provádění Zálohování omezena. Nedostupnost nebo omezení funkčnosti Nových webových stránek z těchto důvodů není Incidentem a nezapočítává se do míry dostupnosti Nových webových stránek dle odst. </w:t>
      </w:r>
      <w:r>
        <w:rPr>
          <w:rFonts w:ascii="Arial" w:hAnsi="Arial" w:cs="Arial"/>
          <w:color w:val="000000"/>
        </w:rPr>
        <w:fldChar w:fldCharType="begin"/>
      </w:r>
      <w:r>
        <w:rPr>
          <w:rFonts w:ascii="Arial" w:hAnsi="Arial" w:cs="Arial"/>
          <w:color w:val="000000"/>
        </w:rPr>
        <w:instrText xml:space="preserve"> REF _Ref223317870 \r \h  \* MERGEFORMAT </w:instrText>
      </w:r>
      <w:r>
        <w:rPr>
          <w:rFonts w:ascii="Arial" w:hAnsi="Arial" w:cs="Arial"/>
          <w:color w:val="000000"/>
        </w:rPr>
      </w:r>
      <w:r>
        <w:rPr>
          <w:rFonts w:ascii="Arial" w:hAnsi="Arial" w:cs="Arial"/>
          <w:color w:val="000000"/>
        </w:rPr>
        <w:fldChar w:fldCharType="separate"/>
      </w:r>
      <w:r>
        <w:rPr>
          <w:rFonts w:ascii="Arial" w:hAnsi="Arial" w:cs="Arial"/>
          <w:color w:val="000000"/>
        </w:rPr>
        <w:t>23</w:t>
      </w:r>
      <w:r>
        <w:rPr>
          <w:rFonts w:ascii="Arial" w:hAnsi="Arial" w:cs="Arial"/>
          <w:color w:val="000000"/>
        </w:rPr>
        <w:fldChar w:fldCharType="end"/>
      </w:r>
      <w:r>
        <w:rPr>
          <w:rFonts w:ascii="Arial" w:hAnsi="Arial" w:cs="Arial"/>
          <w:color w:val="000000"/>
        </w:rPr>
        <w:t xml:space="preserve"> této Smlouvy.</w:t>
      </w:r>
      <w:bookmarkEnd w:id="61"/>
    </w:p>
    <w:p>
      <w:pPr>
        <w:pStyle w:val="Odstavecseseznamem"/>
        <w:numPr>
          <w:ilvl w:val="0"/>
          <w:numId w:val="1"/>
        </w:numPr>
        <w:spacing w:before="240" w:after="240" w:line="276" w:lineRule="auto"/>
        <w:contextualSpacing w:val="0"/>
        <w:jc w:val="both"/>
        <w:rPr>
          <w:rFonts w:ascii="Arial" w:hAnsi="Arial" w:cs="Arial"/>
          <w:color w:val="000000"/>
        </w:rPr>
      </w:pPr>
      <w:r>
        <w:rPr>
          <w:rFonts w:ascii="Arial" w:hAnsi="Arial" w:cs="Arial"/>
          <w:color w:val="000000"/>
        </w:rPr>
        <w:t>Dodavatel je povinen uchovávat zálohy minimálně 3 předchozích verzí Nových webových stránek, ze kterých bude možné provést kompletní Obnovu prostředí / aplikace Nových webových stránek.</w:t>
      </w:r>
    </w:p>
    <w:p>
      <w:pPr>
        <w:pStyle w:val="Odstavecseseznamem"/>
        <w:numPr>
          <w:ilvl w:val="0"/>
          <w:numId w:val="1"/>
        </w:numPr>
        <w:spacing w:before="240" w:after="240" w:line="276" w:lineRule="auto"/>
        <w:contextualSpacing w:val="0"/>
        <w:jc w:val="both"/>
        <w:rPr>
          <w:rFonts w:ascii="Arial" w:hAnsi="Arial" w:cs="Arial"/>
          <w:color w:val="000000"/>
        </w:rPr>
      </w:pPr>
      <w:bookmarkStart w:id="63" w:name="_Ref223468416"/>
      <w:r>
        <w:rPr>
          <w:rFonts w:ascii="Arial" w:hAnsi="Arial" w:cs="Arial"/>
          <w:color w:val="000000"/>
        </w:rPr>
        <w:t xml:space="preserve">Dodavatel poskytne Objednateli na jeho žádost do 5 pracovních dní zálohu vytvořenou v rámci Zálohování. Záloha bude poskytnuta ve formátu běžně dostupném a čitelném prostřednictvím elektronické zprávy nebo datového uložiště zvoleného Objednatelem, </w:t>
      </w:r>
      <w:r>
        <w:rPr>
          <w:rFonts w:ascii="Arial" w:hAnsi="Arial" w:cs="Arial"/>
          <w:color w:val="000000"/>
        </w:rPr>
        <w:lastRenderedPageBreak/>
        <w:t>nedohodnou-li se Strany jinak. Pro vyloučení pochybností Strany uvádějí, že Dodavatel není povinen v zálohách vyhledávat konkrétní data a není povinen tato data ani jinak zpracovávat, nedohodnou-li se Strany jinak.</w:t>
      </w:r>
      <w:bookmarkEnd w:id="63"/>
      <w:r>
        <w:rPr>
          <w:rFonts w:ascii="Arial" w:hAnsi="Arial" w:cs="Arial"/>
          <w:color w:val="000000"/>
        </w:rPr>
        <w:t xml:space="preserve"> </w:t>
      </w:r>
    </w:p>
    <w:p>
      <w:pPr>
        <w:pStyle w:val="Odstavecseseznamem"/>
        <w:numPr>
          <w:ilvl w:val="0"/>
          <w:numId w:val="1"/>
        </w:numPr>
        <w:spacing w:before="240" w:after="240" w:line="276" w:lineRule="auto"/>
        <w:contextualSpacing w:val="0"/>
        <w:jc w:val="both"/>
        <w:rPr>
          <w:rFonts w:ascii="Arial" w:hAnsi="Arial" w:cs="Arial"/>
          <w:color w:val="000000"/>
        </w:rPr>
      </w:pPr>
      <w:r>
        <w:rPr>
          <w:rFonts w:ascii="Arial" w:hAnsi="Arial" w:cs="Arial"/>
          <w:color w:val="000000"/>
        </w:rPr>
        <w:t xml:space="preserve">Dodavatel je povinen veškeré zálohy odstranit bez zbytečného odkladu po ukončení Smlouvy, přesný termín odstranění záloh bude stanoven v Exit plánu (odst. </w:t>
      </w:r>
      <w:r>
        <w:rPr>
          <w:rFonts w:ascii="Arial" w:hAnsi="Arial" w:cs="Arial"/>
          <w:color w:val="000000"/>
        </w:rPr>
        <w:fldChar w:fldCharType="begin"/>
      </w:r>
      <w:r>
        <w:rPr>
          <w:rFonts w:ascii="Arial" w:hAnsi="Arial" w:cs="Arial"/>
          <w:color w:val="000000"/>
        </w:rPr>
        <w:instrText xml:space="preserve"> REF _Ref225350573 \r \h </w:instrText>
      </w:r>
      <w:r>
        <w:rPr>
          <w:rFonts w:ascii="Arial" w:hAnsi="Arial" w:cs="Arial"/>
          <w:color w:val="000000"/>
        </w:rPr>
      </w:r>
      <w:r>
        <w:rPr>
          <w:rFonts w:ascii="Arial" w:hAnsi="Arial" w:cs="Arial"/>
          <w:color w:val="000000"/>
        </w:rPr>
        <w:fldChar w:fldCharType="separate"/>
      </w:r>
      <w:r>
        <w:rPr>
          <w:rFonts w:ascii="Arial" w:hAnsi="Arial" w:cs="Arial"/>
          <w:color w:val="000000"/>
        </w:rPr>
        <w:t>140</w:t>
      </w:r>
      <w:r>
        <w:rPr>
          <w:rFonts w:ascii="Arial" w:hAnsi="Arial" w:cs="Arial"/>
          <w:color w:val="000000"/>
        </w:rPr>
        <w:fldChar w:fldCharType="end"/>
      </w:r>
      <w:r>
        <w:rPr>
          <w:rFonts w:ascii="Arial" w:hAnsi="Arial" w:cs="Arial"/>
          <w:color w:val="000000"/>
        </w:rPr>
        <w:t xml:space="preserve"> Smlouvy).</w:t>
      </w:r>
    </w:p>
    <w:p>
      <w:pPr>
        <w:pStyle w:val="Odstavecseseznamem"/>
        <w:numPr>
          <w:ilvl w:val="0"/>
          <w:numId w:val="1"/>
        </w:numPr>
        <w:spacing w:before="240" w:after="240" w:line="276" w:lineRule="auto"/>
        <w:contextualSpacing w:val="0"/>
        <w:jc w:val="both"/>
        <w:rPr>
          <w:rFonts w:ascii="Arial" w:hAnsi="Arial" w:cs="Arial"/>
          <w:color w:val="000000"/>
        </w:rPr>
      </w:pPr>
      <w:bookmarkStart w:id="64" w:name="_Ref223352269"/>
      <w:r>
        <w:rPr>
          <w:rFonts w:ascii="Arial" w:hAnsi="Arial" w:cs="Arial"/>
          <w:color w:val="000000"/>
        </w:rPr>
        <w:t xml:space="preserve">Dojde-li ke ztrátě či poškození dat Nových webových stránek nebo z jiného důvodu nastane potřeba obnovit data Nových webových stránek ze zálohy, provede Dodavatel Obnovu bez zbytečného odkladu, nejpozději do 48 hodin od přijetí požadavku Objednatele. Objednatel požadavek učiní postupem dle odst. </w:t>
      </w:r>
      <w:r>
        <w:rPr>
          <w:rFonts w:ascii="Arial" w:hAnsi="Arial" w:cs="Arial"/>
          <w:color w:val="000000"/>
        </w:rPr>
        <w:fldChar w:fldCharType="begin"/>
      </w:r>
      <w:r>
        <w:rPr>
          <w:rFonts w:ascii="Arial" w:hAnsi="Arial" w:cs="Arial"/>
          <w:color w:val="000000"/>
        </w:rPr>
        <w:instrText xml:space="preserve"> REF _Ref223318369 \r \h </w:instrText>
      </w:r>
      <w:r>
        <w:rPr>
          <w:rFonts w:ascii="Arial" w:hAnsi="Arial" w:cs="Arial"/>
          <w:color w:val="000000"/>
        </w:rPr>
      </w:r>
      <w:r>
        <w:rPr>
          <w:rFonts w:ascii="Arial" w:hAnsi="Arial" w:cs="Arial"/>
          <w:color w:val="000000"/>
        </w:rPr>
        <w:fldChar w:fldCharType="separate"/>
      </w:r>
      <w:r>
        <w:rPr>
          <w:rFonts w:ascii="Arial" w:hAnsi="Arial" w:cs="Arial"/>
          <w:color w:val="000000"/>
        </w:rPr>
        <w:t>26</w:t>
      </w:r>
      <w:r>
        <w:rPr>
          <w:rFonts w:ascii="Arial" w:hAnsi="Arial" w:cs="Arial"/>
          <w:color w:val="000000"/>
        </w:rPr>
        <w:fldChar w:fldCharType="end"/>
      </w:r>
      <w:r>
        <w:rPr>
          <w:rFonts w:ascii="Arial" w:hAnsi="Arial" w:cs="Arial"/>
          <w:color w:val="000000"/>
        </w:rPr>
        <w:t xml:space="preserve"> této Smlouvy.</w:t>
      </w:r>
      <w:bookmarkEnd w:id="64"/>
    </w:p>
    <w:p>
      <w:pPr>
        <w:pStyle w:val="Odstavecseseznamem"/>
        <w:numPr>
          <w:ilvl w:val="0"/>
          <w:numId w:val="1"/>
        </w:numPr>
        <w:spacing w:before="240" w:after="240" w:line="276" w:lineRule="auto"/>
        <w:contextualSpacing w:val="0"/>
        <w:jc w:val="both"/>
        <w:rPr>
          <w:rFonts w:ascii="Arial" w:hAnsi="Arial" w:cs="Arial"/>
          <w:color w:val="000000"/>
        </w:rPr>
      </w:pPr>
      <w:bookmarkStart w:id="65" w:name="_Ref223332297"/>
      <w:r>
        <w:rPr>
          <w:rFonts w:ascii="Arial" w:hAnsi="Arial" w:cs="Arial"/>
          <w:color w:val="000000"/>
        </w:rPr>
        <w:t>Dodavatel bude poskytovat Objednateli službu Podpory na základě požadavků Objednatele. Objednatel požadavek na poskytnutí Podpory učiní postupem dle odst. </w:t>
      </w:r>
      <w:r>
        <w:rPr>
          <w:rFonts w:ascii="Arial" w:hAnsi="Arial" w:cs="Arial"/>
          <w:color w:val="000000"/>
        </w:rPr>
        <w:fldChar w:fldCharType="begin"/>
      </w:r>
      <w:r>
        <w:rPr>
          <w:rFonts w:ascii="Arial" w:hAnsi="Arial" w:cs="Arial"/>
          <w:color w:val="000000"/>
        </w:rPr>
        <w:instrText xml:space="preserve"> REF _Ref225341929 \r \h  \* MERGEFORMAT </w:instrText>
      </w:r>
      <w:r>
        <w:rPr>
          <w:rFonts w:ascii="Arial" w:hAnsi="Arial" w:cs="Arial"/>
          <w:color w:val="000000"/>
        </w:rPr>
      </w:r>
      <w:r>
        <w:rPr>
          <w:rFonts w:ascii="Arial" w:hAnsi="Arial" w:cs="Arial"/>
          <w:color w:val="000000"/>
        </w:rPr>
        <w:fldChar w:fldCharType="separate"/>
      </w:r>
      <w:r>
        <w:rPr>
          <w:rFonts w:ascii="Arial" w:hAnsi="Arial" w:cs="Arial"/>
          <w:color w:val="000000"/>
        </w:rPr>
        <w:t>28</w:t>
      </w:r>
      <w:r>
        <w:rPr>
          <w:rFonts w:ascii="Arial" w:hAnsi="Arial" w:cs="Arial"/>
          <w:color w:val="000000"/>
        </w:rPr>
        <w:fldChar w:fldCharType="end"/>
      </w:r>
      <w:r>
        <w:rPr>
          <w:rFonts w:ascii="Arial" w:hAnsi="Arial" w:cs="Arial"/>
          <w:color w:val="000000"/>
        </w:rPr>
        <w:t xml:space="preserve"> této Smlouvy. Dodavatel se zavazuje poskytovat Objednateli službu Podpory v rozsahu 12 člověkohodin měsíčně. Nevyčerpaný rozsah poskytovaných služeb Podpory lze převádět a kumulovat po celou dobu platnosti a účinnosti této Smlouvy. Pokud by na základě požadavku Objednatele mělo dojít k překročení tohoto rozsahu, uvědomí o tom Dodavatel Objednatele. Poskytnutí služby Podpory nad rámec sjednaného rozsahu si Strany musí předem oboustranně potvrdit postupem dle odst. </w:t>
      </w:r>
      <w:r>
        <w:rPr>
          <w:rFonts w:ascii="Arial" w:hAnsi="Arial" w:cs="Arial"/>
          <w:color w:val="000000"/>
        </w:rPr>
        <w:fldChar w:fldCharType="begin"/>
      </w:r>
      <w:r>
        <w:rPr>
          <w:rFonts w:ascii="Arial" w:hAnsi="Arial" w:cs="Arial"/>
          <w:color w:val="000000"/>
        </w:rPr>
        <w:instrText xml:space="preserve"> REF _Ref223357889 \r \h </w:instrText>
      </w:r>
      <w:r>
        <w:rPr>
          <w:rFonts w:ascii="Arial" w:hAnsi="Arial" w:cs="Arial"/>
          <w:color w:val="000000"/>
        </w:rPr>
      </w:r>
      <w:r>
        <w:rPr>
          <w:rFonts w:ascii="Arial" w:hAnsi="Arial" w:cs="Arial"/>
          <w:color w:val="000000"/>
        </w:rPr>
        <w:fldChar w:fldCharType="separate"/>
      </w:r>
      <w:r>
        <w:rPr>
          <w:rFonts w:ascii="Arial" w:hAnsi="Arial" w:cs="Arial"/>
          <w:color w:val="000000"/>
        </w:rPr>
        <w:t>27</w:t>
      </w:r>
      <w:r>
        <w:rPr>
          <w:rFonts w:ascii="Arial" w:hAnsi="Arial" w:cs="Arial"/>
          <w:color w:val="000000"/>
        </w:rPr>
        <w:fldChar w:fldCharType="end"/>
      </w:r>
      <w:r>
        <w:rPr>
          <w:rFonts w:ascii="Arial" w:hAnsi="Arial" w:cs="Arial"/>
          <w:color w:val="000000"/>
        </w:rPr>
        <w:t xml:space="preserve"> této Smlouvy, přičemž Dodavateli náleží v takovém </w:t>
      </w:r>
      <w:r>
        <w:rPr>
          <w:rFonts w:ascii="Arial" w:hAnsi="Arial" w:cs="Arial"/>
          <w:color w:val="000000" w:themeColor="text1"/>
        </w:rPr>
        <w:t xml:space="preserve">případě Dodatečná odměna za Podporu dle odst. </w:t>
      </w:r>
      <w:r>
        <w:rPr>
          <w:rFonts w:ascii="Arial" w:hAnsi="Arial" w:cs="Arial"/>
          <w:color w:val="000000" w:themeColor="text1"/>
        </w:rPr>
        <w:fldChar w:fldCharType="begin"/>
      </w:r>
      <w:r>
        <w:rPr>
          <w:rFonts w:ascii="Arial" w:hAnsi="Arial" w:cs="Arial"/>
          <w:color w:val="000000" w:themeColor="text1"/>
        </w:rPr>
        <w:instrText xml:space="preserve"> REF _Ref223348984 \r \h </w:instrText>
      </w:r>
      <w:r>
        <w:rPr>
          <w:rFonts w:ascii="Arial" w:hAnsi="Arial" w:cs="Arial"/>
          <w:color w:val="000000" w:themeColor="text1"/>
        </w:rPr>
      </w:r>
      <w:r>
        <w:rPr>
          <w:rFonts w:ascii="Arial" w:hAnsi="Arial" w:cs="Arial"/>
          <w:color w:val="000000" w:themeColor="text1"/>
        </w:rPr>
        <w:fldChar w:fldCharType="separate"/>
      </w:r>
      <w:r>
        <w:rPr>
          <w:rFonts w:ascii="Arial" w:hAnsi="Arial" w:cs="Arial"/>
          <w:color w:val="000000" w:themeColor="text1"/>
        </w:rPr>
        <w:t>68</w:t>
      </w:r>
      <w:r>
        <w:rPr>
          <w:rFonts w:ascii="Arial" w:hAnsi="Arial" w:cs="Arial"/>
          <w:color w:val="000000" w:themeColor="text1"/>
        </w:rPr>
        <w:fldChar w:fldCharType="end"/>
      </w:r>
      <w:r>
        <w:rPr>
          <w:rFonts w:ascii="Arial" w:hAnsi="Arial" w:cs="Arial"/>
          <w:color w:val="000000" w:themeColor="text1"/>
        </w:rPr>
        <w:t xml:space="preserve"> této Smlouvy. </w:t>
      </w:r>
      <w:r>
        <w:rPr>
          <w:rFonts w:ascii="Arial" w:hAnsi="Arial" w:cs="Arial"/>
          <w:color w:val="000000"/>
        </w:rPr>
        <w:t>Netrvá-li tato Smlouva po celý kalendářní měsíc, rozsah dle tohoto odstavce pro takový kalendářní měsíc se poměrně sníží.</w:t>
      </w:r>
      <w:bookmarkEnd w:id="65"/>
    </w:p>
    <w:p>
      <w:pPr>
        <w:pStyle w:val="Odstavecseseznamem"/>
        <w:keepNext/>
        <w:numPr>
          <w:ilvl w:val="0"/>
          <w:numId w:val="2"/>
        </w:numPr>
        <w:spacing w:before="240" w:after="240" w:line="276" w:lineRule="auto"/>
        <w:ind w:left="714" w:hanging="357"/>
        <w:contextualSpacing w:val="0"/>
        <w:jc w:val="center"/>
        <w:rPr>
          <w:rFonts w:ascii="Arial" w:hAnsi="Arial" w:cs="Arial"/>
          <w:b/>
          <w:bCs/>
        </w:rPr>
      </w:pPr>
      <w:bookmarkStart w:id="66" w:name="__RefHeading___Toc622_293221212"/>
      <w:bookmarkStart w:id="67" w:name="_Toc73341513"/>
      <w:bookmarkEnd w:id="62"/>
      <w:bookmarkEnd w:id="66"/>
      <w:r>
        <w:rPr>
          <w:rFonts w:ascii="Arial" w:hAnsi="Arial" w:cs="Arial"/>
          <w:b/>
          <w:bCs/>
        </w:rPr>
        <w:t>MÍSTO A DOBA PLNĚNÍ</w:t>
      </w:r>
    </w:p>
    <w:bookmarkEnd w:id="67"/>
    <w:p>
      <w:pPr>
        <w:pStyle w:val="Odstavecseseznamem"/>
        <w:keepNext/>
        <w:numPr>
          <w:ilvl w:val="0"/>
          <w:numId w:val="1"/>
        </w:numPr>
        <w:spacing w:after="240" w:line="276" w:lineRule="auto"/>
        <w:contextualSpacing w:val="0"/>
        <w:jc w:val="both"/>
        <w:rPr>
          <w:rFonts w:ascii="Arial" w:hAnsi="Arial" w:cs="Arial"/>
        </w:rPr>
      </w:pPr>
      <w:r>
        <w:rPr>
          <w:rFonts w:ascii="Arial" w:hAnsi="Arial" w:cs="Arial"/>
        </w:rPr>
        <w:t xml:space="preserve">Místem plnění je sídlo Objednatele. Plnění bude poskytováno převážně vzdáleným přístupem, nevyžaduje-li povaha konkrétní činnosti jeho provedení v sídle Objednatele nebo na jiném předem dohodnutém místě. V případě potřeby umožní Objednatel Dodavateli přístup do svých prostor za účelem plnění této Smlouvy. </w:t>
      </w:r>
    </w:p>
    <w:p>
      <w:pPr>
        <w:pStyle w:val="Odstavecseseznamem"/>
        <w:numPr>
          <w:ilvl w:val="0"/>
          <w:numId w:val="1"/>
        </w:numPr>
        <w:spacing w:after="240" w:line="276" w:lineRule="auto"/>
        <w:contextualSpacing w:val="0"/>
        <w:jc w:val="both"/>
        <w:rPr>
          <w:rFonts w:ascii="Arial" w:hAnsi="Arial" w:cs="Arial"/>
        </w:rPr>
      </w:pPr>
      <w:bookmarkStart w:id="68" w:name="_Ref165881843"/>
      <w:r>
        <w:rPr>
          <w:rFonts w:ascii="Arial" w:hAnsi="Arial" w:cs="Arial"/>
        </w:rPr>
        <w:t xml:space="preserve">Dodavatel se zavazuje, že </w:t>
      </w:r>
      <w:r>
        <w:rPr>
          <w:rFonts w:ascii="Arial" w:hAnsi="Arial" w:cs="Arial"/>
          <w:b/>
          <w:bCs/>
        </w:rPr>
        <w:t xml:space="preserve">část plnění Dodávka </w:t>
      </w:r>
      <w:r>
        <w:rPr>
          <w:rFonts w:ascii="Arial" w:hAnsi="Arial" w:cs="Arial"/>
        </w:rPr>
        <w:t>provede v následujících termínech:</w:t>
      </w:r>
      <w:bookmarkEnd w:id="68"/>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 xml:space="preserve">fáze dle bodu </w:t>
      </w:r>
      <w:r>
        <w:rPr>
          <w:rFonts w:ascii="Arial" w:hAnsi="Arial" w:cs="Arial"/>
        </w:rPr>
        <w:fldChar w:fldCharType="begin"/>
      </w:r>
      <w:r>
        <w:rPr>
          <w:rFonts w:ascii="Arial" w:hAnsi="Arial" w:cs="Arial"/>
        </w:rPr>
        <w:instrText xml:space="preserve"> REF _Ref223313940 \r \h </w:instrText>
      </w:r>
      <w:r>
        <w:rPr>
          <w:rFonts w:ascii="Arial" w:hAnsi="Arial" w:cs="Arial"/>
        </w:rPr>
      </w:r>
      <w:r>
        <w:rPr>
          <w:rFonts w:ascii="Arial" w:hAnsi="Arial" w:cs="Arial"/>
        </w:rPr>
        <w:fldChar w:fldCharType="separate"/>
      </w:r>
      <w:r>
        <w:rPr>
          <w:rFonts w:ascii="Arial" w:hAnsi="Arial" w:cs="Arial"/>
        </w:rPr>
        <w:t>6.1.1</w:t>
      </w:r>
      <w:r>
        <w:rPr>
          <w:rFonts w:ascii="Arial" w:hAnsi="Arial" w:cs="Arial"/>
        </w:rPr>
        <w:fldChar w:fldCharType="end"/>
      </w:r>
      <w:r>
        <w:rPr>
          <w:rFonts w:ascii="Arial" w:hAnsi="Arial" w:cs="Arial"/>
        </w:rPr>
        <w:t xml:space="preserve"> této Smlouvy do 40 dnů od nabytí účinnosti Smlouvy,</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 xml:space="preserve">fáze dle bodu </w:t>
      </w:r>
      <w:r>
        <w:rPr>
          <w:rFonts w:ascii="Arial" w:hAnsi="Arial" w:cs="Arial"/>
        </w:rPr>
        <w:fldChar w:fldCharType="begin"/>
      </w:r>
      <w:r>
        <w:rPr>
          <w:rFonts w:ascii="Arial" w:hAnsi="Arial" w:cs="Arial"/>
        </w:rPr>
        <w:instrText xml:space="preserve"> REF _Ref223314042 \r \h  \* MERGEFORMAT </w:instrText>
      </w:r>
      <w:r>
        <w:rPr>
          <w:rFonts w:ascii="Arial" w:hAnsi="Arial" w:cs="Arial"/>
        </w:rPr>
      </w:r>
      <w:r>
        <w:rPr>
          <w:rFonts w:ascii="Arial" w:hAnsi="Arial" w:cs="Arial"/>
        </w:rPr>
        <w:fldChar w:fldCharType="separate"/>
      </w:r>
      <w:r>
        <w:rPr>
          <w:rFonts w:ascii="Arial" w:hAnsi="Arial" w:cs="Arial"/>
        </w:rPr>
        <w:t>6.1.2</w:t>
      </w:r>
      <w:r>
        <w:rPr>
          <w:rFonts w:ascii="Arial" w:hAnsi="Arial" w:cs="Arial"/>
        </w:rPr>
        <w:fldChar w:fldCharType="end"/>
      </w:r>
      <w:r>
        <w:rPr>
          <w:rFonts w:ascii="Arial" w:hAnsi="Arial" w:cs="Arial"/>
        </w:rPr>
        <w:t xml:space="preserve"> této Smlouvy do 60 dnů od nabytí účinnosti Smlouvy, </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 xml:space="preserve">fáze dle bodu </w:t>
      </w:r>
      <w:r>
        <w:rPr>
          <w:rFonts w:ascii="Arial" w:hAnsi="Arial" w:cs="Arial"/>
        </w:rPr>
        <w:fldChar w:fldCharType="begin"/>
      </w:r>
      <w:r>
        <w:rPr>
          <w:rFonts w:ascii="Arial" w:hAnsi="Arial" w:cs="Arial"/>
        </w:rPr>
        <w:instrText xml:space="preserve"> REF _Ref223314008 \r \h  \* MERGEFORMAT </w:instrText>
      </w:r>
      <w:r>
        <w:rPr>
          <w:rFonts w:ascii="Arial" w:hAnsi="Arial" w:cs="Arial"/>
        </w:rPr>
      </w:r>
      <w:r>
        <w:rPr>
          <w:rFonts w:ascii="Arial" w:hAnsi="Arial" w:cs="Arial"/>
        </w:rPr>
        <w:fldChar w:fldCharType="separate"/>
      </w:r>
      <w:r>
        <w:rPr>
          <w:rFonts w:ascii="Arial" w:hAnsi="Arial" w:cs="Arial"/>
        </w:rPr>
        <w:t>6.1.3</w:t>
      </w:r>
      <w:r>
        <w:rPr>
          <w:rFonts w:ascii="Arial" w:hAnsi="Arial" w:cs="Arial"/>
        </w:rPr>
        <w:fldChar w:fldCharType="end"/>
      </w:r>
      <w:r>
        <w:rPr>
          <w:rFonts w:ascii="Arial" w:hAnsi="Arial" w:cs="Arial"/>
        </w:rPr>
        <w:t xml:space="preserve"> této Smlouvy do 70 dnů od nabytí účinnosti Smlouvy,</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 xml:space="preserve">fáze dle bodu </w:t>
      </w:r>
      <w:r>
        <w:rPr>
          <w:rFonts w:ascii="Arial" w:hAnsi="Arial" w:cs="Arial"/>
        </w:rPr>
        <w:fldChar w:fldCharType="begin"/>
      </w:r>
      <w:r>
        <w:rPr>
          <w:rFonts w:ascii="Arial" w:hAnsi="Arial" w:cs="Arial"/>
        </w:rPr>
        <w:instrText xml:space="preserve"> REF _Ref225432333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r>
        <w:rPr>
          <w:rFonts w:ascii="Arial" w:hAnsi="Arial" w:cs="Arial"/>
        </w:rPr>
        <w:t xml:space="preserve"> této Smlouvy do 130 dnů od nabytí účinnosti Smlouvy,</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 xml:space="preserve">fáze dle bodu </w:t>
      </w:r>
      <w:r>
        <w:rPr>
          <w:rFonts w:ascii="Arial" w:hAnsi="Arial" w:cs="Arial"/>
        </w:rPr>
        <w:fldChar w:fldCharType="begin"/>
      </w:r>
      <w:r>
        <w:rPr>
          <w:rFonts w:ascii="Arial" w:hAnsi="Arial" w:cs="Arial"/>
        </w:rPr>
        <w:instrText xml:space="preserve"> REF _Ref225432380 \r \h </w:instrText>
      </w:r>
      <w:r>
        <w:rPr>
          <w:rFonts w:ascii="Arial" w:hAnsi="Arial" w:cs="Arial"/>
        </w:rPr>
      </w:r>
      <w:r>
        <w:rPr>
          <w:rFonts w:ascii="Arial" w:hAnsi="Arial" w:cs="Arial"/>
        </w:rPr>
        <w:fldChar w:fldCharType="separate"/>
      </w:r>
      <w:r>
        <w:rPr>
          <w:rFonts w:ascii="Arial" w:hAnsi="Arial" w:cs="Arial"/>
        </w:rPr>
        <w:t>6.1.5</w:t>
      </w:r>
      <w:r>
        <w:rPr>
          <w:rFonts w:ascii="Arial" w:hAnsi="Arial" w:cs="Arial"/>
        </w:rPr>
        <w:fldChar w:fldCharType="end"/>
      </w:r>
      <w:r>
        <w:rPr>
          <w:rFonts w:ascii="Arial" w:hAnsi="Arial" w:cs="Arial"/>
        </w:rPr>
        <w:t xml:space="preserve"> této Smlouvy do 150 dnů od nabytí účinnosti Smlouvy,</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 xml:space="preserve">fáze dle bodu </w:t>
      </w:r>
      <w:r>
        <w:rPr>
          <w:rFonts w:ascii="Arial" w:hAnsi="Arial" w:cs="Arial"/>
        </w:rPr>
        <w:fldChar w:fldCharType="begin"/>
      </w:r>
      <w:r>
        <w:rPr>
          <w:rFonts w:ascii="Arial" w:hAnsi="Arial" w:cs="Arial"/>
        </w:rPr>
        <w:instrText xml:space="preserve"> REF _Ref223314361 \r \h  \* MERGEFORMAT </w:instrText>
      </w:r>
      <w:r>
        <w:rPr>
          <w:rFonts w:ascii="Arial" w:hAnsi="Arial" w:cs="Arial"/>
        </w:rPr>
      </w:r>
      <w:r>
        <w:rPr>
          <w:rFonts w:ascii="Arial" w:hAnsi="Arial" w:cs="Arial"/>
        </w:rPr>
        <w:fldChar w:fldCharType="separate"/>
      </w:r>
      <w:r>
        <w:rPr>
          <w:rFonts w:ascii="Arial" w:hAnsi="Arial" w:cs="Arial"/>
        </w:rPr>
        <w:t>6.1.6</w:t>
      </w:r>
      <w:r>
        <w:rPr>
          <w:rFonts w:ascii="Arial" w:hAnsi="Arial" w:cs="Arial"/>
        </w:rPr>
        <w:fldChar w:fldCharType="end"/>
      </w:r>
      <w:r>
        <w:rPr>
          <w:rFonts w:ascii="Arial" w:hAnsi="Arial" w:cs="Arial"/>
        </w:rPr>
        <w:t xml:space="preserve"> této Smlouvy do 120 dnů od nabytí účinnosti Smlouvy,</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 xml:space="preserve">fáze dle bodu </w:t>
      </w:r>
      <w:r>
        <w:rPr>
          <w:rFonts w:ascii="Arial" w:hAnsi="Arial" w:cs="Arial"/>
        </w:rPr>
        <w:fldChar w:fldCharType="begin"/>
      </w:r>
      <w:r>
        <w:rPr>
          <w:rFonts w:ascii="Arial" w:hAnsi="Arial" w:cs="Arial"/>
        </w:rPr>
        <w:instrText xml:space="preserve"> REF _Ref223314533 \r \h  \* MERGEFORMAT </w:instrText>
      </w:r>
      <w:r>
        <w:rPr>
          <w:rFonts w:ascii="Arial" w:hAnsi="Arial" w:cs="Arial"/>
        </w:rPr>
      </w:r>
      <w:r>
        <w:rPr>
          <w:rFonts w:ascii="Arial" w:hAnsi="Arial" w:cs="Arial"/>
        </w:rPr>
        <w:fldChar w:fldCharType="separate"/>
      </w:r>
      <w:r>
        <w:rPr>
          <w:rFonts w:ascii="Arial" w:hAnsi="Arial" w:cs="Arial"/>
        </w:rPr>
        <w:t>6.1.7</w:t>
      </w:r>
      <w:r>
        <w:rPr>
          <w:rFonts w:ascii="Arial" w:hAnsi="Arial" w:cs="Arial"/>
        </w:rPr>
        <w:fldChar w:fldCharType="end"/>
      </w:r>
      <w:r>
        <w:rPr>
          <w:rFonts w:ascii="Arial" w:hAnsi="Arial" w:cs="Arial"/>
        </w:rPr>
        <w:t xml:space="preserve"> této Smlouvy do 190 dnů od nabytí účinnosti Smlouvy,</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 xml:space="preserve">fáze dle bodu </w:t>
      </w:r>
      <w:r>
        <w:rPr>
          <w:rFonts w:ascii="Arial" w:hAnsi="Arial" w:cs="Arial"/>
        </w:rPr>
        <w:fldChar w:fldCharType="begin"/>
      </w:r>
      <w:r>
        <w:rPr>
          <w:rFonts w:ascii="Arial" w:hAnsi="Arial" w:cs="Arial"/>
        </w:rPr>
        <w:instrText xml:space="preserve"> REF _Ref223363674 \r \h </w:instrText>
      </w:r>
      <w:r>
        <w:rPr>
          <w:rFonts w:ascii="Arial" w:hAnsi="Arial" w:cs="Arial"/>
        </w:rPr>
      </w:r>
      <w:r>
        <w:rPr>
          <w:rFonts w:ascii="Arial" w:hAnsi="Arial" w:cs="Arial"/>
        </w:rPr>
        <w:fldChar w:fldCharType="separate"/>
      </w:r>
      <w:r>
        <w:rPr>
          <w:rFonts w:ascii="Arial" w:hAnsi="Arial" w:cs="Arial"/>
        </w:rPr>
        <w:t>6.1.8</w:t>
      </w:r>
      <w:r>
        <w:rPr>
          <w:rFonts w:ascii="Arial" w:hAnsi="Arial" w:cs="Arial"/>
        </w:rPr>
        <w:fldChar w:fldCharType="end"/>
      </w:r>
      <w:r>
        <w:rPr>
          <w:rFonts w:ascii="Arial" w:hAnsi="Arial" w:cs="Arial"/>
        </w:rPr>
        <w:t xml:space="preserve"> této Smlouvy do 190 dnů od nabytí účinnosti Smlouvy,</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lastRenderedPageBreak/>
        <w:t xml:space="preserve">fáze dle bodu </w:t>
      </w:r>
      <w:r>
        <w:rPr>
          <w:rFonts w:ascii="Arial" w:hAnsi="Arial" w:cs="Arial"/>
        </w:rPr>
        <w:fldChar w:fldCharType="begin"/>
      </w:r>
      <w:r>
        <w:rPr>
          <w:rFonts w:ascii="Arial" w:hAnsi="Arial" w:cs="Arial"/>
        </w:rPr>
        <w:instrText xml:space="preserve"> REF _Ref225342437 \r \h </w:instrText>
      </w:r>
      <w:r>
        <w:rPr>
          <w:rFonts w:ascii="Arial" w:hAnsi="Arial" w:cs="Arial"/>
        </w:rPr>
      </w:r>
      <w:r>
        <w:rPr>
          <w:rFonts w:ascii="Arial" w:hAnsi="Arial" w:cs="Arial"/>
        </w:rPr>
        <w:fldChar w:fldCharType="separate"/>
      </w:r>
      <w:r>
        <w:rPr>
          <w:rFonts w:ascii="Arial" w:hAnsi="Arial" w:cs="Arial"/>
        </w:rPr>
        <w:t>6.1.9</w:t>
      </w:r>
      <w:r>
        <w:rPr>
          <w:rFonts w:ascii="Arial" w:hAnsi="Arial" w:cs="Arial"/>
        </w:rPr>
        <w:fldChar w:fldCharType="end"/>
      </w:r>
      <w:r>
        <w:rPr>
          <w:rFonts w:ascii="Arial" w:hAnsi="Arial" w:cs="Arial"/>
        </w:rPr>
        <w:t xml:space="preserve"> této Smlouvy v průběhu Pilotního provozu dle odst. </w:t>
      </w:r>
      <w:r>
        <w:rPr>
          <w:rFonts w:ascii="Arial" w:hAnsi="Arial" w:cs="Arial"/>
        </w:rPr>
        <w:fldChar w:fldCharType="begin"/>
      </w:r>
      <w:r>
        <w:rPr>
          <w:rFonts w:ascii="Arial" w:hAnsi="Arial" w:cs="Arial"/>
        </w:rPr>
        <w:instrText xml:space="preserve"> REF _Ref223363755 \r \h </w:instrText>
      </w:r>
      <w:r>
        <w:rPr>
          <w:rFonts w:ascii="Arial" w:hAnsi="Arial" w:cs="Arial"/>
        </w:rPr>
      </w:r>
      <w:r>
        <w:rPr>
          <w:rFonts w:ascii="Arial" w:hAnsi="Arial" w:cs="Arial"/>
        </w:rPr>
        <w:fldChar w:fldCharType="separate"/>
      </w:r>
      <w:r>
        <w:rPr>
          <w:rFonts w:ascii="Arial" w:hAnsi="Arial" w:cs="Arial"/>
        </w:rPr>
        <w:t>11.2</w:t>
      </w:r>
      <w:r>
        <w:rPr>
          <w:rFonts w:ascii="Arial" w:hAnsi="Arial" w:cs="Arial"/>
        </w:rPr>
        <w:fldChar w:fldCharType="end"/>
      </w:r>
      <w:r>
        <w:rPr>
          <w:rFonts w:ascii="Arial" w:hAnsi="Arial" w:cs="Arial"/>
        </w:rPr>
        <w:t xml:space="preserve"> této Smlouvy nebo bezprostředně po jeho úspěšném dokončení.</w:t>
      </w:r>
    </w:p>
    <w:p>
      <w:pPr>
        <w:pStyle w:val="Odstavecseseznamem"/>
        <w:numPr>
          <w:ilvl w:val="1"/>
          <w:numId w:val="1"/>
        </w:numPr>
        <w:spacing w:after="240" w:line="276" w:lineRule="auto"/>
        <w:ind w:left="1276" w:hanging="709"/>
        <w:contextualSpacing w:val="0"/>
        <w:jc w:val="both"/>
        <w:rPr>
          <w:rFonts w:ascii="Arial" w:hAnsi="Arial" w:cs="Arial"/>
        </w:rPr>
      </w:pPr>
      <w:r>
        <w:rPr>
          <w:rFonts w:ascii="Arial" w:hAnsi="Arial" w:cs="Arial"/>
        </w:rPr>
        <w:t xml:space="preserve">fáze dle bodu </w:t>
      </w:r>
      <w:r>
        <w:rPr>
          <w:rFonts w:ascii="Arial" w:hAnsi="Arial" w:cs="Arial"/>
        </w:rPr>
        <w:fldChar w:fldCharType="begin"/>
      </w:r>
      <w:r>
        <w:rPr>
          <w:rFonts w:ascii="Arial" w:hAnsi="Arial" w:cs="Arial"/>
        </w:rPr>
        <w:instrText xml:space="preserve"> REF _Ref223363680 \r \h </w:instrText>
      </w:r>
      <w:r>
        <w:rPr>
          <w:rFonts w:ascii="Arial" w:hAnsi="Arial" w:cs="Arial"/>
        </w:rPr>
      </w:r>
      <w:r>
        <w:rPr>
          <w:rFonts w:ascii="Arial" w:hAnsi="Arial" w:cs="Arial"/>
        </w:rPr>
        <w:fldChar w:fldCharType="separate"/>
      </w:r>
      <w:r>
        <w:rPr>
          <w:rFonts w:ascii="Arial" w:hAnsi="Arial" w:cs="Arial"/>
        </w:rPr>
        <w:t>6.1.10</w:t>
      </w:r>
      <w:r>
        <w:rPr>
          <w:rFonts w:ascii="Arial" w:hAnsi="Arial" w:cs="Arial"/>
        </w:rPr>
        <w:fldChar w:fldCharType="end"/>
      </w:r>
      <w:r>
        <w:rPr>
          <w:rFonts w:ascii="Arial" w:hAnsi="Arial" w:cs="Arial"/>
        </w:rPr>
        <w:t xml:space="preserve"> této Smlouvy v průběhu Pilotního provozu dle odst. </w:t>
      </w:r>
      <w:r>
        <w:rPr>
          <w:rFonts w:ascii="Arial" w:hAnsi="Arial" w:cs="Arial"/>
        </w:rPr>
        <w:fldChar w:fldCharType="begin"/>
      </w:r>
      <w:r>
        <w:rPr>
          <w:rFonts w:ascii="Arial" w:hAnsi="Arial" w:cs="Arial"/>
        </w:rPr>
        <w:instrText xml:space="preserve"> REF _Ref223363755 \r \h </w:instrText>
      </w:r>
      <w:r>
        <w:rPr>
          <w:rFonts w:ascii="Arial" w:hAnsi="Arial" w:cs="Arial"/>
        </w:rPr>
      </w:r>
      <w:r>
        <w:rPr>
          <w:rFonts w:ascii="Arial" w:hAnsi="Arial" w:cs="Arial"/>
        </w:rPr>
        <w:fldChar w:fldCharType="separate"/>
      </w:r>
      <w:r>
        <w:rPr>
          <w:rFonts w:ascii="Arial" w:hAnsi="Arial" w:cs="Arial"/>
        </w:rPr>
        <w:t>11.2</w:t>
      </w:r>
      <w:r>
        <w:rPr>
          <w:rFonts w:ascii="Arial" w:hAnsi="Arial" w:cs="Arial"/>
        </w:rPr>
        <w:fldChar w:fldCharType="end"/>
      </w:r>
      <w:r>
        <w:rPr>
          <w:rFonts w:ascii="Arial" w:hAnsi="Arial" w:cs="Arial"/>
        </w:rPr>
        <w:t xml:space="preserve"> této Smlouvy nebo bezprostředně po jeho úspěšném dokončení.</w:t>
      </w:r>
    </w:p>
    <w:p>
      <w:pPr>
        <w:pStyle w:val="Odstavecseseznamem"/>
        <w:numPr>
          <w:ilvl w:val="0"/>
          <w:numId w:val="1"/>
        </w:numPr>
        <w:spacing w:after="240" w:line="276" w:lineRule="auto"/>
        <w:contextualSpacing w:val="0"/>
        <w:jc w:val="both"/>
        <w:rPr>
          <w:rFonts w:ascii="Arial" w:hAnsi="Arial" w:cs="Arial"/>
        </w:rPr>
      </w:pPr>
      <w:bookmarkStart w:id="69" w:name="_Toc73341515"/>
      <w:r>
        <w:rPr>
          <w:rFonts w:ascii="Arial" w:hAnsi="Arial" w:cs="Arial"/>
          <w:b/>
          <w:bCs/>
        </w:rPr>
        <w:t>Část plnění Vývoj</w:t>
      </w:r>
      <w:r>
        <w:rPr>
          <w:rFonts w:ascii="Arial" w:hAnsi="Arial" w:cs="Arial"/>
        </w:rPr>
        <w:t xml:space="preserve"> bude zahájena dnem doručení první Objednávky Zhotoviteli. Objednatel je oprávněn činit Objednávky ode dne nabytí účinnosti Smlouvy. Část plnění Vývoj končí okamžikem řádného dokončení a splnění všech Dílčích smluv uzavřených podle odst. </w:t>
      </w:r>
      <w:r>
        <w:rPr>
          <w:rFonts w:ascii="Arial" w:hAnsi="Arial" w:cs="Arial"/>
        </w:rPr>
        <w:fldChar w:fldCharType="begin"/>
      </w:r>
      <w:r>
        <w:rPr>
          <w:rFonts w:ascii="Arial" w:hAnsi="Arial" w:cs="Arial"/>
        </w:rPr>
        <w:instrText xml:space="preserve"> REF _Ref223319865 \r \h  \* MERGEFORMAT </w:instrText>
      </w:r>
      <w:r>
        <w:rPr>
          <w:rFonts w:ascii="Arial" w:hAnsi="Arial" w:cs="Arial"/>
        </w:rPr>
      </w:r>
      <w:r>
        <w:rPr>
          <w:rFonts w:ascii="Arial" w:hAnsi="Arial" w:cs="Arial"/>
        </w:rPr>
        <w:fldChar w:fldCharType="separate"/>
      </w:r>
      <w:r>
        <w:rPr>
          <w:rFonts w:ascii="Arial" w:hAnsi="Arial" w:cs="Arial"/>
        </w:rPr>
        <w:t>15</w:t>
      </w:r>
      <w:r>
        <w:rPr>
          <w:rFonts w:ascii="Arial" w:hAnsi="Arial" w:cs="Arial"/>
        </w:rPr>
        <w:fldChar w:fldCharType="end"/>
      </w:r>
      <w:r>
        <w:rPr>
          <w:rFonts w:ascii="Arial" w:hAnsi="Arial" w:cs="Arial"/>
        </w:rPr>
        <w:t xml:space="preserve"> této Smlouvy, nebo vyčerpáním sjednaného finančního limitu pro tuto část plnění dle odst. </w:t>
      </w:r>
      <w:r>
        <w:rPr>
          <w:rFonts w:ascii="Arial" w:hAnsi="Arial" w:cs="Arial"/>
        </w:rPr>
        <w:fldChar w:fldCharType="begin"/>
      </w:r>
      <w:r>
        <w:rPr>
          <w:rFonts w:ascii="Arial" w:hAnsi="Arial" w:cs="Arial"/>
        </w:rPr>
        <w:instrText xml:space="preserve"> REF _Ref223349136 \r \h  \* MERGEFORMAT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r>
        <w:rPr>
          <w:rFonts w:ascii="Arial" w:hAnsi="Arial" w:cs="Arial"/>
        </w:rPr>
        <w:t xml:space="preserve"> této Smlouvy, podle toho, která z těchto skutečností nastane dříve.</w:t>
      </w:r>
    </w:p>
    <w:p>
      <w:pPr>
        <w:pStyle w:val="Odstavecseseznamem"/>
        <w:numPr>
          <w:ilvl w:val="0"/>
          <w:numId w:val="1"/>
        </w:numPr>
        <w:spacing w:after="240" w:line="276" w:lineRule="auto"/>
        <w:contextualSpacing w:val="0"/>
        <w:jc w:val="both"/>
        <w:rPr>
          <w:rFonts w:ascii="Arial" w:hAnsi="Arial" w:cs="Arial"/>
        </w:rPr>
      </w:pPr>
      <w:r>
        <w:rPr>
          <w:rFonts w:ascii="Arial" w:hAnsi="Arial" w:cs="Arial"/>
        </w:rPr>
        <w:t xml:space="preserve">Dodavatel se zavazuje poskytovat </w:t>
      </w:r>
      <w:r>
        <w:rPr>
          <w:rFonts w:ascii="Arial" w:hAnsi="Arial" w:cs="Arial"/>
          <w:b/>
          <w:bCs/>
        </w:rPr>
        <w:t>část plnění Provoz</w:t>
      </w:r>
      <w:r>
        <w:rPr>
          <w:rFonts w:ascii="Arial" w:hAnsi="Arial" w:cs="Arial"/>
        </w:rPr>
        <w:t xml:space="preserve"> ode dne řádného dokončení, předání a převzetí části plnění Dodávka Objednatelem podle odst. </w:t>
      </w:r>
      <w:r>
        <w:rPr>
          <w:rFonts w:ascii="Arial" w:hAnsi="Arial" w:cs="Arial"/>
        </w:rPr>
        <w:fldChar w:fldCharType="begin"/>
      </w:r>
      <w:r>
        <w:rPr>
          <w:rFonts w:ascii="Arial" w:hAnsi="Arial" w:cs="Arial"/>
        </w:rPr>
        <w:instrText xml:space="preserve"> REF _Ref223319865 \r \h  \* MERGEFORMAT </w:instrText>
      </w:r>
      <w:r>
        <w:rPr>
          <w:rFonts w:ascii="Arial" w:hAnsi="Arial" w:cs="Arial"/>
        </w:rPr>
      </w:r>
      <w:r>
        <w:rPr>
          <w:rFonts w:ascii="Arial" w:hAnsi="Arial" w:cs="Arial"/>
        </w:rPr>
        <w:fldChar w:fldCharType="separate"/>
      </w:r>
      <w:r>
        <w:rPr>
          <w:rFonts w:ascii="Arial" w:hAnsi="Arial" w:cs="Arial"/>
        </w:rPr>
        <w:t>15</w:t>
      </w:r>
      <w:r>
        <w:rPr>
          <w:rFonts w:ascii="Arial" w:hAnsi="Arial" w:cs="Arial"/>
        </w:rPr>
        <w:fldChar w:fldCharType="end"/>
      </w:r>
      <w:r>
        <w:rPr>
          <w:rFonts w:ascii="Arial" w:hAnsi="Arial" w:cs="Arial"/>
        </w:rPr>
        <w:t xml:space="preserve"> této Smlouvy. Část plnění Provoz je sjednán na dobu neurčitou. </w:t>
      </w:r>
    </w:p>
    <w:p>
      <w:pPr>
        <w:pStyle w:val="Odstavecseseznamem"/>
        <w:keepNext/>
        <w:numPr>
          <w:ilvl w:val="0"/>
          <w:numId w:val="2"/>
        </w:numPr>
        <w:spacing w:before="240" w:after="240" w:line="276" w:lineRule="auto"/>
        <w:ind w:left="714" w:hanging="357"/>
        <w:contextualSpacing w:val="0"/>
        <w:jc w:val="center"/>
        <w:rPr>
          <w:rFonts w:ascii="Arial" w:hAnsi="Arial" w:cs="Arial"/>
          <w:b/>
          <w:bCs/>
        </w:rPr>
      </w:pPr>
      <w:r>
        <w:rPr>
          <w:rFonts w:ascii="Arial" w:hAnsi="Arial" w:cs="Arial"/>
          <w:b/>
          <w:bCs/>
        </w:rPr>
        <w:t>DALŠÍ PRÁVA A POVINNOSTI SMLUVNÍCH STRAN</w:t>
      </w:r>
    </w:p>
    <w:bookmarkEnd w:id="69"/>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Při provádění Předmětu plnění je Dodavatel povinen postupovat s odbornou péčí a řídit se příkazy Objednatele.</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Strany prohlašují, že mají veškerá práva a způsobilost k tomu, aby plnily závazky vyplývající z této Smlouvy, a že neexistují žádné právní překážky, které by bránily či omezovaly plnění jejich závazků, a že uzavřením Smlouvy nedojde k porušení žádného právního předpisu.</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Dodavatel se zavazuje zajistit dostatečnou kapacitu, zejm. dostupnost svých pracovníků, pro plnění této Smlouvy tak, aby byly dodrženy všechny termíny a lhůty stanovené v této Smlouvě nebo dohodnuté Stranami v souladu s touto Smlouvou a aby mohlo probíhat plnění této Smlouvy efektivně, hospodárně a bez zbytných prodlev.</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Dodavatel je povinen neprodleně písemně vyrozumět Objednatele o případném ohrožení doby plnění a o všech skutečnostech, které mohou řádné a včasné plnění Předmětu plnění znemožnit, a to nejpozději do 3 dnů ode dne, kdy se Dodavatel dozví o takové skutečnosti.</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Strany se zavazují vzájemně spolupracovat a poskytovat si navzájem nezbytnou součinnost pro naplnění účelu této Smlouvy. Strany jsou povinny si poskytovat veškeré informace potřebné pro řádné plnění svých závazků a informovat druhou Stranu o veškerých skutečnostech, které jsou nebo mohou být důležité pro řádné plnění této Smlouvy.</w:t>
      </w:r>
    </w:p>
    <w:p>
      <w:pPr>
        <w:pStyle w:val="Odstavecseseznamem"/>
        <w:numPr>
          <w:ilvl w:val="0"/>
          <w:numId w:val="1"/>
        </w:numPr>
        <w:spacing w:before="240" w:after="240" w:line="276" w:lineRule="auto"/>
        <w:contextualSpacing w:val="0"/>
        <w:jc w:val="both"/>
        <w:rPr>
          <w:rFonts w:ascii="Arial" w:hAnsi="Arial" w:cs="Arial"/>
        </w:rPr>
      </w:pPr>
      <w:bookmarkStart w:id="70" w:name="_heading=h.32hioqz" w:colFirst="0" w:colLast="0"/>
      <w:bookmarkEnd w:id="70"/>
      <w:r>
        <w:rPr>
          <w:rFonts w:ascii="Arial" w:hAnsi="Arial" w:cs="Arial"/>
        </w:rPr>
        <w:t>Dodavatel je povinen zajistit, aby Nové webové stránky, včetně jejich úprav, rozšíření a dalších funkcionalit realizovaných v rámci Části plnění Dodávka a Části plnění Vývoj, splňovaly legislativní požadavky uvedené v příloze č. 1 této Smlouvy ke dni jejich předání Objednateli a dále po dobu poskytování Části plnění Provoz. V případě změny právních předpisů je Dodavatel povinen bez zbytečného odkladu upozornit Objednatele na nutnost provedení odpovídajících úprav a navrhnout jejich řešení; provedení těchto úprav se řídí režimem Části plnění Vývoj, není-li mezi Stranami dohodnuto jinak.</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lastRenderedPageBreak/>
        <w:t>Dodavatel je povinen dodržovat veškerá pravidla kybernetické bezpečnosti stanovená v příloze č. 4 této Smlouvy. Tato pravidla zahrnují, ale nejsou omezena pouze na opatření pro ochranu informací, řízení přístupu, monitorování systémů, detekci a reakci na bezpečnostní incidenty a pravidelné bezpečnostní audity. Dodavatel je povinen implementovat a udržovat technická a organizační opatření nezbytná k zajištění bezpečnosti informací a systémů, které jsou předmětem této Smlouvy. V případě porušení pravidel kybernetické bezpečnosti je Dodavatel povinen bezodkladně informovat Objednatele a přijmout veškerá nezbytná opatření k nápravě a minimalizaci dopadů.</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Dodavatel se zavazuje při plnění této Smlouvy postupovat v souladu s následujícími normami a dokumenty:</w:t>
      </w:r>
    </w:p>
    <w:p>
      <w:pPr>
        <w:pStyle w:val="Odstavecseseznamem"/>
        <w:numPr>
          <w:ilvl w:val="1"/>
          <w:numId w:val="1"/>
        </w:numPr>
        <w:spacing w:before="240" w:after="240" w:line="276" w:lineRule="auto"/>
        <w:contextualSpacing w:val="0"/>
        <w:jc w:val="both"/>
        <w:rPr>
          <w:rFonts w:ascii="Arial" w:hAnsi="Arial" w:cs="Arial"/>
        </w:rPr>
      </w:pPr>
      <w:r>
        <w:rPr>
          <w:rFonts w:ascii="Arial" w:hAnsi="Arial" w:cs="Arial"/>
        </w:rPr>
        <w:t>právními normami a příslušnými technickými normami upravujícími plnění, pod které spadají jednotlivá plnění dle této Smlouvy;</w:t>
      </w:r>
    </w:p>
    <w:p>
      <w:pPr>
        <w:pStyle w:val="Odstavecseseznamem"/>
        <w:numPr>
          <w:ilvl w:val="1"/>
          <w:numId w:val="1"/>
        </w:numPr>
        <w:spacing w:before="240" w:after="240" w:line="276" w:lineRule="auto"/>
        <w:contextualSpacing w:val="0"/>
        <w:jc w:val="both"/>
        <w:rPr>
          <w:rFonts w:ascii="Arial" w:hAnsi="Arial" w:cs="Arial"/>
        </w:rPr>
      </w:pPr>
      <w:r>
        <w:rPr>
          <w:rFonts w:ascii="Arial" w:hAnsi="Arial" w:cs="Arial"/>
        </w:rPr>
        <w:t>technickými podmínkami Objednatele, které jsou součástí Zadávací dokumentace;</w:t>
      </w:r>
    </w:p>
    <w:p>
      <w:pPr>
        <w:pStyle w:val="Odstavecseseznamem"/>
        <w:numPr>
          <w:ilvl w:val="1"/>
          <w:numId w:val="1"/>
        </w:numPr>
        <w:spacing w:before="240" w:after="240" w:line="276" w:lineRule="auto"/>
        <w:contextualSpacing w:val="0"/>
        <w:jc w:val="both"/>
        <w:rPr>
          <w:rFonts w:ascii="Arial" w:hAnsi="Arial" w:cs="Arial"/>
        </w:rPr>
      </w:pPr>
      <w:r>
        <w:rPr>
          <w:rFonts w:ascii="Arial" w:hAnsi="Arial" w:cs="Arial"/>
        </w:rPr>
        <w:t>jinými podmínkami uvedenými v Zadávací dokumentaci;</w:t>
      </w:r>
    </w:p>
    <w:p>
      <w:pPr>
        <w:pStyle w:val="Odstavecseseznamem"/>
        <w:numPr>
          <w:ilvl w:val="1"/>
          <w:numId w:val="1"/>
        </w:numPr>
        <w:spacing w:before="240" w:after="240" w:line="276" w:lineRule="auto"/>
        <w:contextualSpacing w:val="0"/>
        <w:jc w:val="both"/>
        <w:rPr>
          <w:rFonts w:ascii="Arial" w:hAnsi="Arial" w:cs="Arial"/>
        </w:rPr>
      </w:pPr>
      <w:r>
        <w:rPr>
          <w:rFonts w:ascii="Arial" w:hAnsi="Arial" w:cs="Arial"/>
        </w:rPr>
        <w:t>Nabídkou dodavatele.</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Dodavatel je povinen zajistit Objednateli nepřetržitý přístup ke všem datům a databázím Nových webových stránek, a to minimálně v rozsahu oprávnění umožňujícím jejich čtení a export.</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bookmarkStart w:id="71" w:name="_Toc73341517"/>
      <w:r>
        <w:rPr>
          <w:rFonts w:ascii="Arial" w:hAnsi="Arial" w:cs="Arial"/>
          <w:b/>
          <w:bCs/>
        </w:rPr>
        <w:t xml:space="preserve">OPRÁVNĚNÉ OSOBY </w:t>
      </w:r>
    </w:p>
    <w:p>
      <w:pPr>
        <w:pStyle w:val="Odstavecseseznamem"/>
        <w:numPr>
          <w:ilvl w:val="0"/>
          <w:numId w:val="1"/>
        </w:numPr>
        <w:spacing w:before="240" w:after="240" w:line="276" w:lineRule="auto"/>
        <w:contextualSpacing w:val="0"/>
        <w:jc w:val="both"/>
        <w:rPr>
          <w:rFonts w:ascii="Arial" w:hAnsi="Arial" w:cs="Arial"/>
        </w:rPr>
      </w:pPr>
      <w:bookmarkStart w:id="72" w:name="_Ref223348198"/>
      <w:r>
        <w:rPr>
          <w:rFonts w:ascii="Arial" w:hAnsi="Arial" w:cs="Arial"/>
        </w:rPr>
        <w:t>Projektový tým</w:t>
      </w:r>
      <w:bookmarkEnd w:id="72"/>
      <w:r>
        <w:rPr>
          <w:rFonts w:ascii="Arial" w:hAnsi="Arial" w:cs="Arial"/>
        </w:rPr>
        <w:t xml:space="preserve"> Dodavatele</w:t>
      </w:r>
    </w:p>
    <w:p>
      <w:pPr>
        <w:pStyle w:val="Odstavecseseznamem"/>
        <w:numPr>
          <w:ilvl w:val="1"/>
          <w:numId w:val="1"/>
        </w:numPr>
        <w:spacing w:before="240" w:after="240" w:line="276" w:lineRule="auto"/>
        <w:ind w:left="1276"/>
        <w:contextualSpacing w:val="0"/>
        <w:jc w:val="both"/>
        <w:rPr>
          <w:rFonts w:ascii="Arial" w:hAnsi="Arial" w:cs="Arial"/>
        </w:rPr>
      </w:pPr>
      <w:bookmarkStart w:id="73" w:name="_Ref223554108"/>
      <w:r>
        <w:rPr>
          <w:rFonts w:ascii="Arial" w:hAnsi="Arial" w:cs="Arial"/>
        </w:rPr>
        <w:t>Dodavatel se zavazuje zabezpečovat realizaci Předmětu plnění této Smlouvy prostřednictvím osob, jejichž prostřednictvím prokazoval v rámci Řízení veřejné zakázky splnění kvalifikačních požadavků, a to v rozsahu, v jakém byla prostřednictvím těchto osob kvalifikace prokázána (tyto osoby společně tvoří „</w:t>
      </w:r>
      <w:r>
        <w:rPr>
          <w:rFonts w:ascii="Arial" w:hAnsi="Arial" w:cs="Arial"/>
          <w:b/>
          <w:bCs/>
        </w:rPr>
        <w:t>Projektový tým</w:t>
      </w:r>
      <w:r>
        <w:rPr>
          <w:rFonts w:ascii="Arial" w:hAnsi="Arial" w:cs="Arial"/>
        </w:rPr>
        <w:t>“). Projektový tým musí být sestaven z následujících rolí:</w:t>
      </w:r>
      <w:bookmarkEnd w:id="73"/>
    </w:p>
    <w:p>
      <w:pPr>
        <w:pStyle w:val="Odstavecseseznamem"/>
        <w:numPr>
          <w:ilvl w:val="2"/>
          <w:numId w:val="1"/>
        </w:numPr>
        <w:spacing w:before="240" w:after="240" w:line="276" w:lineRule="auto"/>
        <w:ind w:left="1985" w:hanging="709"/>
        <w:contextualSpacing w:val="0"/>
        <w:jc w:val="both"/>
        <w:rPr>
          <w:rFonts w:ascii="Arial" w:hAnsi="Arial" w:cs="Arial"/>
        </w:rPr>
      </w:pPr>
      <w:bookmarkStart w:id="74" w:name="_Ref165460044"/>
      <w:r>
        <w:rPr>
          <w:rFonts w:ascii="Arial" w:hAnsi="Arial" w:cs="Arial"/>
          <w:b/>
          <w:bCs/>
        </w:rPr>
        <w:t>Projektový manažer</w:t>
      </w:r>
      <w:r>
        <w:rPr>
          <w:rFonts w:ascii="Arial" w:hAnsi="Arial" w:cs="Arial"/>
        </w:rPr>
        <w:t xml:space="preserve"> – vedoucí Projektového týmu je odpovědný za celkovou realizaci Předmětu plnění ve všech jeho fázích, včetně koordinace činností zbylých členů Projektového týmu a dalších osob podílejících se na realizaci Předmětu plnění.</w:t>
      </w:r>
    </w:p>
    <w:p>
      <w:pPr>
        <w:pStyle w:val="Odstavecseseznamem"/>
        <w:numPr>
          <w:ilvl w:val="2"/>
          <w:numId w:val="1"/>
        </w:numPr>
        <w:spacing w:before="240" w:after="240" w:line="276" w:lineRule="auto"/>
        <w:ind w:left="1985" w:hanging="709"/>
        <w:contextualSpacing w:val="0"/>
        <w:jc w:val="both"/>
        <w:rPr>
          <w:rFonts w:ascii="Arial" w:hAnsi="Arial" w:cs="Arial"/>
        </w:rPr>
      </w:pPr>
      <w:r>
        <w:rPr>
          <w:rFonts w:ascii="Arial" w:eastAsia="Arial" w:hAnsi="Arial" w:cs="Arial"/>
          <w:b/>
          <w:bCs/>
        </w:rPr>
        <w:t>Vývojář (programátor)</w:t>
      </w:r>
      <w:r>
        <w:rPr>
          <w:rFonts w:ascii="Arial" w:eastAsia="Arial" w:hAnsi="Arial" w:cs="Arial"/>
        </w:rPr>
        <w:t xml:space="preserve"> </w:t>
      </w:r>
      <w:r>
        <w:rPr>
          <w:rFonts w:ascii="Arial" w:hAnsi="Arial" w:cs="Arial"/>
        </w:rPr>
        <w:t xml:space="preserve">– </w:t>
      </w:r>
      <w:bookmarkEnd w:id="74"/>
      <w:r>
        <w:rPr>
          <w:rFonts w:ascii="Arial" w:hAnsi="Arial" w:cs="Arial"/>
        </w:rPr>
        <w:t xml:space="preserve">zodpovědný za </w:t>
      </w:r>
      <w:proofErr w:type="spellStart"/>
      <w:r>
        <w:rPr>
          <w:rFonts w:ascii="Arial" w:hAnsi="Arial" w:cs="Arial"/>
        </w:rPr>
        <w:t>backend</w:t>
      </w:r>
      <w:proofErr w:type="spellEnd"/>
      <w:r>
        <w:rPr>
          <w:rFonts w:ascii="Arial" w:hAnsi="Arial" w:cs="Arial"/>
        </w:rPr>
        <w:t xml:space="preserve"> a integrace, za správnou implementaci </w:t>
      </w:r>
      <w:proofErr w:type="spellStart"/>
      <w:r>
        <w:rPr>
          <w:rFonts w:ascii="Arial" w:hAnsi="Arial" w:cs="Arial"/>
        </w:rPr>
        <w:t>frontendového</w:t>
      </w:r>
      <w:proofErr w:type="spellEnd"/>
      <w:r>
        <w:rPr>
          <w:rFonts w:ascii="Arial" w:hAnsi="Arial" w:cs="Arial"/>
        </w:rPr>
        <w:t xml:space="preserve"> designu a technickou připravenost webu k migraci a testování.</w:t>
      </w:r>
    </w:p>
    <w:p>
      <w:pPr>
        <w:pStyle w:val="Odstavecseseznamem"/>
        <w:numPr>
          <w:ilvl w:val="2"/>
          <w:numId w:val="1"/>
        </w:numPr>
        <w:spacing w:before="240" w:after="240" w:line="276" w:lineRule="auto"/>
        <w:ind w:left="1985" w:hanging="709"/>
        <w:contextualSpacing w:val="0"/>
        <w:jc w:val="both"/>
        <w:rPr>
          <w:rFonts w:ascii="Arial" w:hAnsi="Arial" w:cs="Arial"/>
        </w:rPr>
      </w:pPr>
      <w:r>
        <w:rPr>
          <w:rFonts w:ascii="Arial" w:eastAsia="Arial" w:hAnsi="Arial" w:cs="Arial"/>
          <w:b/>
          <w:bCs/>
        </w:rPr>
        <w:t xml:space="preserve">UX/UI designér (případně i grafik) </w:t>
      </w:r>
      <w:r>
        <w:rPr>
          <w:rFonts w:ascii="Arial" w:eastAsia="Arial" w:hAnsi="Arial" w:cs="Arial"/>
        </w:rPr>
        <w:t xml:space="preserve">– </w:t>
      </w:r>
      <w:r>
        <w:rPr>
          <w:rFonts w:ascii="Arial" w:hAnsi="Arial" w:cs="Arial"/>
        </w:rPr>
        <w:t>zodpovědný za UX/UI</w:t>
      </w:r>
      <w:r>
        <w:t> </w:t>
      </w:r>
      <w:r>
        <w:rPr>
          <w:rFonts w:ascii="Arial" w:hAnsi="Arial" w:cs="Arial"/>
        </w:rPr>
        <w:t>návrh, design manuál a grafiku.</w:t>
      </w:r>
    </w:p>
    <w:p>
      <w:pPr>
        <w:pStyle w:val="Odstavecseseznamem"/>
        <w:numPr>
          <w:ilvl w:val="1"/>
          <w:numId w:val="1"/>
        </w:numPr>
        <w:spacing w:before="240" w:after="240" w:line="276" w:lineRule="auto"/>
        <w:ind w:left="1276" w:hanging="709"/>
        <w:contextualSpacing w:val="0"/>
        <w:jc w:val="both"/>
        <w:rPr>
          <w:rFonts w:ascii="Arial" w:hAnsi="Arial" w:cs="Arial"/>
        </w:rPr>
      </w:pPr>
      <w:bookmarkStart w:id="75" w:name="_Ref165460805"/>
      <w:r>
        <w:rPr>
          <w:rFonts w:ascii="Arial" w:hAnsi="Arial" w:cs="Arial"/>
        </w:rPr>
        <w:t xml:space="preserve">V případě, že Dodavatel hodlá pro Předmět plnění změnit členy Projektového týmu, jehož prostřednictvím Dodavatel prokazoval část kvalifikace v Řízení </w:t>
      </w:r>
      <w:r>
        <w:rPr>
          <w:rFonts w:ascii="Arial" w:hAnsi="Arial" w:cs="Arial"/>
        </w:rPr>
        <w:lastRenderedPageBreak/>
        <w:t xml:space="preserve">veřejné zakázky, je Dodavatel povinen Objednatele o takové změně informovat </w:t>
      </w:r>
      <w:r>
        <w:rPr>
          <w:rFonts w:ascii="Arial" w:hAnsi="Arial" w:cs="Arial"/>
          <w:highlight w:val="white"/>
        </w:rPr>
        <w:t>nejpozději 15 dnů předtím, než se nový člen Projektového týmu má začít podílet na plnění Smlouvy</w:t>
      </w:r>
      <w:r>
        <w:rPr>
          <w:rFonts w:ascii="Arial" w:hAnsi="Arial" w:cs="Arial"/>
        </w:rPr>
        <w:t>, a před takovou změnou mu předložit doklady prokazující kvalifikaci nového člena Projektového týmu v minimálně stejném rozsahu, v jakém se na prokázání kvalifikace podílel původní člen Projektového týmu.</w:t>
      </w:r>
      <w:bookmarkEnd w:id="75"/>
    </w:p>
    <w:p>
      <w:pPr>
        <w:pStyle w:val="Odstavecseseznamem"/>
        <w:numPr>
          <w:ilvl w:val="1"/>
          <w:numId w:val="1"/>
        </w:numPr>
        <w:spacing w:before="240" w:after="240" w:line="276" w:lineRule="auto"/>
        <w:ind w:left="1276" w:hanging="709"/>
        <w:contextualSpacing w:val="0"/>
        <w:jc w:val="both"/>
        <w:rPr>
          <w:rFonts w:ascii="Arial" w:hAnsi="Arial" w:cs="Arial"/>
        </w:rPr>
      </w:pPr>
      <w:bookmarkStart w:id="76" w:name="_Ref163726656"/>
      <w:r>
        <w:rPr>
          <w:rFonts w:ascii="Arial" w:hAnsi="Arial" w:cs="Arial"/>
          <w:color w:val="000000"/>
          <w:highlight w:val="white"/>
        </w:rPr>
        <w:t>Objednatel je oprávněn ve lhůtě 10 dnů od obdržení oznámení o změně člena Projektového týmu tuto změnu odmítnout v případě, že k tomu má podstatný důvod. Za tento důvod se mj. považuje:</w:t>
      </w:r>
      <w:bookmarkEnd w:id="76"/>
    </w:p>
    <w:p>
      <w:pPr>
        <w:pStyle w:val="Odstavecseseznamem"/>
        <w:numPr>
          <w:ilvl w:val="2"/>
          <w:numId w:val="1"/>
        </w:numPr>
        <w:spacing w:before="240" w:after="240" w:line="276" w:lineRule="auto"/>
        <w:ind w:left="2268" w:hanging="992"/>
        <w:contextualSpacing w:val="0"/>
        <w:jc w:val="both"/>
        <w:rPr>
          <w:rFonts w:ascii="Arial" w:hAnsi="Arial" w:cs="Arial"/>
        </w:rPr>
      </w:pPr>
      <w:r>
        <w:rPr>
          <w:rFonts w:ascii="Arial" w:hAnsi="Arial" w:cs="Arial"/>
          <w:color w:val="000000"/>
          <w:highlight w:val="white"/>
        </w:rPr>
        <w:t>neprokázání kvalifikace ze strany nového člena Projektového týmu;</w:t>
      </w:r>
    </w:p>
    <w:p>
      <w:pPr>
        <w:pStyle w:val="Odstavecseseznamem"/>
        <w:numPr>
          <w:ilvl w:val="2"/>
          <w:numId w:val="1"/>
        </w:numPr>
        <w:spacing w:before="240" w:after="240" w:line="276" w:lineRule="auto"/>
        <w:ind w:left="2268" w:hanging="992"/>
        <w:contextualSpacing w:val="0"/>
        <w:jc w:val="both"/>
        <w:rPr>
          <w:rFonts w:ascii="Arial" w:hAnsi="Arial" w:cs="Arial"/>
        </w:rPr>
      </w:pPr>
      <w:r>
        <w:rPr>
          <w:rFonts w:ascii="Arial" w:hAnsi="Arial" w:cs="Arial"/>
          <w:color w:val="000000"/>
          <w:highlight w:val="white"/>
        </w:rPr>
        <w:t>důvodná pochybnost Objednatele o řádném plnění Smlouvy Dodavatelem, riziko zvýšení nákladů Objednatele či zvýšení administrativní zátěže pro Objednatele v případě navržené změny.</w:t>
      </w:r>
      <w:bookmarkStart w:id="77" w:name="_heading=h.3whwml4" w:colFirst="0" w:colLast="0"/>
      <w:bookmarkEnd w:id="77"/>
    </w:p>
    <w:p>
      <w:pPr>
        <w:pStyle w:val="Odstavecseseznamem"/>
        <w:numPr>
          <w:ilvl w:val="1"/>
          <w:numId w:val="1"/>
        </w:numPr>
        <w:spacing w:before="240" w:after="240" w:line="276" w:lineRule="auto"/>
        <w:ind w:left="1276" w:hanging="709"/>
        <w:contextualSpacing w:val="0"/>
        <w:jc w:val="both"/>
        <w:rPr>
          <w:rFonts w:ascii="Arial" w:hAnsi="Arial" w:cs="Arial"/>
        </w:rPr>
      </w:pPr>
      <w:bookmarkStart w:id="78" w:name="_Ref165460814"/>
      <w:r>
        <w:rPr>
          <w:rFonts w:ascii="Arial" w:hAnsi="Arial" w:cs="Arial"/>
          <w:color w:val="000000"/>
          <w:highlight w:val="white"/>
        </w:rPr>
        <w:t>Objednatel si vyhrazuje právo požádat o výměnu člena Projektového týmu pro opakovanou nespokojenost s kvalitou jím odváděné práce nebo pro nedostatečnou komunikaci s Objednatelem.</w:t>
      </w:r>
      <w:bookmarkEnd w:id="78"/>
      <w:r>
        <w:rPr>
          <w:rFonts w:ascii="Arial" w:hAnsi="Arial" w:cs="Arial"/>
          <w:color w:val="000000"/>
          <w:highlight w:val="white"/>
        </w:rPr>
        <w:t xml:space="preserve"> </w:t>
      </w:r>
      <w:bookmarkStart w:id="79" w:name="_heading=h.2bn6wsx" w:colFirst="0" w:colLast="0"/>
      <w:bookmarkEnd w:id="79"/>
    </w:p>
    <w:p>
      <w:pPr>
        <w:pStyle w:val="Odstavecseseznamem"/>
        <w:numPr>
          <w:ilvl w:val="1"/>
          <w:numId w:val="1"/>
        </w:numPr>
        <w:spacing w:before="240" w:after="240" w:line="276" w:lineRule="auto"/>
        <w:ind w:left="1276" w:hanging="709"/>
        <w:contextualSpacing w:val="0"/>
        <w:jc w:val="both"/>
        <w:rPr>
          <w:rFonts w:ascii="Arial" w:hAnsi="Arial" w:cs="Arial"/>
        </w:rPr>
      </w:pPr>
      <w:bookmarkStart w:id="80" w:name="_Ref163726658"/>
      <w:r>
        <w:rPr>
          <w:rFonts w:ascii="Arial" w:hAnsi="Arial" w:cs="Arial"/>
          <w:color w:val="000000"/>
          <w:highlight w:val="white"/>
        </w:rPr>
        <w:t>Pokud Dodavatel neprokáže kvalifikaci nového člena Projektového týmu nebo Objednatel odmítne změnu člena Projektového týmu nebo požádá o výměnu člena Projektového týmu, není Dodavatel oprávněn plnit své závazky dle této Smlouvy prostřednictvím osoby, jíž se nedostatek prokázání kvalifikace, nesouhlas Objednatele nebo požadavek na výměnu týká.</w:t>
      </w:r>
      <w:bookmarkEnd w:id="80"/>
    </w:p>
    <w:p>
      <w:pPr>
        <w:pStyle w:val="Odstavecseseznamem"/>
        <w:numPr>
          <w:ilvl w:val="0"/>
          <w:numId w:val="1"/>
        </w:numPr>
        <w:spacing w:before="240" w:after="240" w:line="276" w:lineRule="auto"/>
        <w:contextualSpacing w:val="0"/>
        <w:jc w:val="both"/>
        <w:rPr>
          <w:rFonts w:ascii="Arial" w:hAnsi="Arial" w:cs="Arial"/>
          <w:color w:val="EE0000"/>
        </w:rPr>
      </w:pPr>
      <w:r>
        <w:rPr>
          <w:rFonts w:ascii="Arial" w:hAnsi="Arial" w:cs="Arial"/>
        </w:rPr>
        <w:t xml:space="preserve">Dodavatel do 3 dnů ode dne nabytí účinnosti této Smlouvy sdělí Objednateli kontaktní údaje členů Projektového týmu, a to minimálně v rozsahu e-mailové adresy a mobilního telefonního čísla. V případě změny člena Projektového týmu, je Dodavatel povinen sdělit kontaktní údaje nového člena Projektového týmu současně s oznámením změny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_Ref165460805 \r \h </w:instrText>
      </w:r>
      <w:r>
        <w:rPr>
          <w:rFonts w:ascii="Arial" w:hAnsi="Arial" w:cs="Arial"/>
        </w:rPr>
      </w:r>
      <w:r>
        <w:rPr>
          <w:rFonts w:ascii="Arial" w:hAnsi="Arial" w:cs="Arial"/>
        </w:rPr>
        <w:fldChar w:fldCharType="separate"/>
      </w:r>
      <w:r>
        <w:rPr>
          <w:rFonts w:ascii="Arial" w:hAnsi="Arial" w:cs="Arial"/>
        </w:rPr>
        <w:t>50.2</w:t>
      </w:r>
      <w:r>
        <w:rPr>
          <w:rFonts w:ascii="Arial" w:hAnsi="Arial" w:cs="Arial"/>
        </w:rPr>
        <w:fldChar w:fldCharType="end"/>
      </w:r>
      <w:r>
        <w:rPr>
          <w:rFonts w:ascii="Arial" w:hAnsi="Arial" w:cs="Arial"/>
        </w:rPr>
        <w:t xml:space="preserve"> nebo </w:t>
      </w:r>
      <w:r>
        <w:rPr>
          <w:rFonts w:ascii="Arial" w:hAnsi="Arial" w:cs="Arial"/>
        </w:rPr>
        <w:fldChar w:fldCharType="begin"/>
      </w:r>
      <w:r>
        <w:rPr>
          <w:rFonts w:ascii="Arial" w:hAnsi="Arial" w:cs="Arial"/>
        </w:rPr>
        <w:instrText xml:space="preserve"> REF _Ref165460814 \r \h </w:instrText>
      </w:r>
      <w:r>
        <w:rPr>
          <w:rFonts w:ascii="Arial" w:hAnsi="Arial" w:cs="Arial"/>
        </w:rPr>
      </w:r>
      <w:r>
        <w:rPr>
          <w:rFonts w:ascii="Arial" w:hAnsi="Arial" w:cs="Arial"/>
        </w:rPr>
        <w:fldChar w:fldCharType="separate"/>
      </w:r>
      <w:r>
        <w:rPr>
          <w:rFonts w:ascii="Arial" w:hAnsi="Arial" w:cs="Arial"/>
        </w:rPr>
        <w:t>50.4</w:t>
      </w:r>
      <w:r>
        <w:rPr>
          <w:rFonts w:ascii="Arial" w:hAnsi="Arial" w:cs="Arial"/>
        </w:rPr>
        <w:fldChar w:fldCharType="end"/>
      </w:r>
      <w:r>
        <w:rPr>
          <w:rFonts w:ascii="Arial" w:hAnsi="Arial" w:cs="Arial"/>
        </w:rPr>
        <w:t xml:space="preserve"> Smlouvy. Objednatel je oprávněn sdělovat své požadavky Dodavateli prostřednictvím kontaktního údaje kteréhokoliv člena Projektového týmu. Vyžaduje-li tato Smlouva písemnou komunikaci, považuje se za ni i e-mailová komunikace prostřednictvím oznámených adres členů Projektového týmu a komunikace prostřednictvím Helpdesku</w:t>
      </w:r>
      <w:r>
        <w:rPr>
          <w:rFonts w:ascii="Arial" w:hAnsi="Arial" w:cs="Arial"/>
          <w:color w:val="000000" w:themeColor="text1"/>
        </w:rPr>
        <w:t>.</w:t>
      </w:r>
    </w:p>
    <w:p>
      <w:pPr>
        <w:pStyle w:val="Odstavecseseznamem"/>
        <w:numPr>
          <w:ilvl w:val="0"/>
          <w:numId w:val="1"/>
        </w:numPr>
        <w:spacing w:before="240" w:after="240" w:line="276" w:lineRule="auto"/>
        <w:contextualSpacing w:val="0"/>
        <w:jc w:val="both"/>
        <w:rPr>
          <w:rFonts w:ascii="Arial" w:hAnsi="Arial" w:cs="Arial"/>
          <w:color w:val="EE0000"/>
        </w:rPr>
      </w:pPr>
      <w:r>
        <w:rPr>
          <w:rFonts w:ascii="Arial" w:hAnsi="Arial" w:cs="Arial"/>
          <w:color w:val="000000" w:themeColor="text1"/>
        </w:rPr>
        <w:t>Technický dozor Objednatele:</w:t>
      </w:r>
    </w:p>
    <w:p>
      <w:pPr>
        <w:pStyle w:val="Odstavecseseznamem"/>
        <w:numPr>
          <w:ilvl w:val="1"/>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Objednatel je oprávněn vykonávat nad plněním této Smlouvy technický dozor (dále jen „</w:t>
      </w:r>
      <w:r>
        <w:rPr>
          <w:rFonts w:ascii="Arial" w:hAnsi="Arial" w:cs="Arial"/>
          <w:b/>
          <w:bCs/>
          <w:color w:val="000000" w:themeColor="text1"/>
        </w:rPr>
        <w:t>Technický dozor</w:t>
      </w:r>
      <w:r>
        <w:rPr>
          <w:rFonts w:ascii="Arial" w:hAnsi="Arial" w:cs="Arial"/>
          <w:color w:val="000000" w:themeColor="text1"/>
        </w:rPr>
        <w:t>“), a to prostřednictvím své pověřené osoby nebo třetí osoby určené Objednatelem.</w:t>
      </w:r>
    </w:p>
    <w:p>
      <w:pPr>
        <w:pStyle w:val="Odstavecseseznamem"/>
        <w:numPr>
          <w:ilvl w:val="1"/>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Technický dozor je oprávněn zejména:</w:t>
      </w:r>
    </w:p>
    <w:p>
      <w:pPr>
        <w:pStyle w:val="Odstavecseseznamem"/>
        <w:numPr>
          <w:ilvl w:val="2"/>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 xml:space="preserve">kontrolovat průběh plnění Smlouvy, </w:t>
      </w:r>
    </w:p>
    <w:p>
      <w:pPr>
        <w:pStyle w:val="Odstavecseseznamem"/>
        <w:numPr>
          <w:ilvl w:val="2"/>
          <w:numId w:val="1"/>
        </w:numPr>
        <w:spacing w:before="240" w:after="240" w:line="276" w:lineRule="auto"/>
        <w:ind w:left="2127" w:hanging="993"/>
        <w:contextualSpacing w:val="0"/>
        <w:jc w:val="both"/>
        <w:rPr>
          <w:rFonts w:ascii="Arial" w:hAnsi="Arial" w:cs="Arial"/>
          <w:color w:val="000000" w:themeColor="text1"/>
        </w:rPr>
      </w:pPr>
      <w:r>
        <w:rPr>
          <w:rFonts w:ascii="Arial" w:hAnsi="Arial" w:cs="Arial"/>
          <w:color w:val="000000" w:themeColor="text1"/>
        </w:rPr>
        <w:t>ověřovat soulad plnění s touto Smlouvou, jejími přílohami a pokyny Objednatele,</w:t>
      </w:r>
    </w:p>
    <w:p>
      <w:pPr>
        <w:pStyle w:val="Odstavecseseznamem"/>
        <w:numPr>
          <w:ilvl w:val="2"/>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vyjadřovat se k technickému řešení, harmonogramu a kvalitě plnění,</w:t>
      </w:r>
    </w:p>
    <w:p>
      <w:pPr>
        <w:pStyle w:val="Odstavecseseznamem"/>
        <w:numPr>
          <w:ilvl w:val="2"/>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lastRenderedPageBreak/>
        <w:t>požadovat vysvětlení k postupu prací a předkládaným výstupům.</w:t>
      </w:r>
    </w:p>
    <w:p>
      <w:pPr>
        <w:pStyle w:val="Odstavecseseznamem"/>
        <w:numPr>
          <w:ilvl w:val="1"/>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Výkon Technického dozoru nezbavuje Dodavatele odpovědnosti za řádné, včasné a odborné plnění této Smlouvy.</w:t>
      </w:r>
    </w:p>
    <w:p>
      <w:pPr>
        <w:pStyle w:val="Odstavecseseznamem"/>
        <w:numPr>
          <w:ilvl w:val="1"/>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Dodavatel je povinen poskytovat Technickému dozoru součinnost v rozsahu nezbytném pro řádný výkon jeho činnosti.</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r>
        <w:rPr>
          <w:rFonts w:ascii="Arial" w:hAnsi="Arial" w:cs="Arial"/>
          <w:b/>
          <w:bCs/>
        </w:rPr>
        <w:t>NAKLÁDÁNÍ S OSOBNÍMI ÚDAJI</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color w:val="000000"/>
        </w:rPr>
        <w:t>Smluvní strany jsou si vědomy toho, že v rámci plnění závazků z této Smlouvy může dojít k tzv. zpracovávání osobních údajů ve smyslu Nařízení Evropského parlamentu a Rady (EU) 2016/679, o ochraně fyzických osob v souvislosti se zpracováním osobních údajů a o volném pohybu těchto údajů a o zrušení směrnice 95/46/ES (obecné nařízení o ochraně osobních údajů) (dále jen „</w:t>
      </w:r>
      <w:r>
        <w:rPr>
          <w:rFonts w:ascii="Arial" w:hAnsi="Arial" w:cs="Arial"/>
          <w:b/>
          <w:bCs/>
          <w:color w:val="000000"/>
        </w:rPr>
        <w:t>GDPR</w:t>
      </w:r>
      <w:r>
        <w:rPr>
          <w:rFonts w:ascii="Arial" w:hAnsi="Arial" w:cs="Arial"/>
          <w:color w:val="000000"/>
        </w:rPr>
        <w:t xml:space="preserve">“), a to pouze a zpravidla v rozsahu, kdy Objednatel osobní údaje Dodavateli zpřístupní přenosem a Dodavatel na osobní údaje pouze a zpravidla nahlédne, bude-li to nezbytné pro řádné plnění závazků této Smlouvy a nebude-li možné se tzv. zpracování osobních údajů vyhnout. </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color w:val="000000"/>
        </w:rPr>
        <w:t>Smluvní strany jsou si vědomy toho, že primárním účelem a předmětem této Smlouvy není zpracovávání osobních údajů v plném rozsahu dle citované legislativy, tj. zejména shromáždění, zaznamenání, uspořádání, strukturování, uložení, přizpůsobení nebo pozměnění, vyhledání, použití, šíření nebo jakékoliv jiné zpřístupnění, seřazení či zkombinování, omezení, výmaz nebo zničení.</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color w:val="000000"/>
        </w:rPr>
        <w:t xml:space="preserve">Smluvní strany jsou si vědomy toho, že ve smyslu tohoto článku plní Objednatel roli tzv. správce osobních údajů a Dodavatel roli tzv. zpracovatele osobních údajů ve smyslu </w:t>
      </w:r>
      <w:r>
        <w:rPr>
          <w:rFonts w:ascii="Arial" w:hAnsi="Arial" w:cs="Arial"/>
          <w:color w:val="000000"/>
          <w:highlight w:val="white"/>
        </w:rPr>
        <w:t>čl. 4 odst. 8</w:t>
      </w:r>
      <w:r>
        <w:rPr>
          <w:rFonts w:ascii="Arial" w:hAnsi="Arial" w:cs="Arial"/>
          <w:color w:val="000000"/>
        </w:rPr>
        <w:t xml:space="preserve"> GDPR. </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color w:val="000000"/>
        </w:rPr>
        <w:t>Objednatel, tj. správce osobních údajů, pověřuje tímto Dodavatele, tj. zpracovatele osobních údajů, zpracováváním osobních údajů ve smyslu GDPR, přičemž:</w:t>
      </w:r>
    </w:p>
    <w:p>
      <w:pPr>
        <w:pStyle w:val="Odstavecseseznamem"/>
        <w:numPr>
          <w:ilvl w:val="1"/>
          <w:numId w:val="1"/>
        </w:numPr>
        <w:spacing w:before="240" w:after="240" w:line="276" w:lineRule="auto"/>
        <w:contextualSpacing w:val="0"/>
        <w:jc w:val="both"/>
        <w:rPr>
          <w:rFonts w:ascii="Arial" w:hAnsi="Arial" w:cs="Arial"/>
        </w:rPr>
      </w:pPr>
      <w:r>
        <w:rPr>
          <w:rFonts w:ascii="Arial" w:hAnsi="Arial" w:cs="Arial"/>
          <w:color w:val="000000"/>
        </w:rPr>
        <w:t>předmětem zpracování osobních údajů jsou osobní údaje vyskytující se v informačním systému Objednatele;</w:t>
      </w:r>
    </w:p>
    <w:p>
      <w:pPr>
        <w:pStyle w:val="Odstavecseseznamem"/>
        <w:numPr>
          <w:ilvl w:val="1"/>
          <w:numId w:val="1"/>
        </w:numPr>
        <w:spacing w:before="240" w:after="240" w:line="276" w:lineRule="auto"/>
        <w:contextualSpacing w:val="0"/>
        <w:jc w:val="both"/>
        <w:rPr>
          <w:rFonts w:ascii="Arial" w:hAnsi="Arial" w:cs="Arial"/>
        </w:rPr>
      </w:pPr>
      <w:r>
        <w:rPr>
          <w:rFonts w:ascii="Arial" w:hAnsi="Arial" w:cs="Arial"/>
          <w:color w:val="000000"/>
        </w:rPr>
        <w:t>dobou trvání zpracování osobních údajů je doba platnosti této Smlouvy;</w:t>
      </w:r>
    </w:p>
    <w:p>
      <w:pPr>
        <w:pStyle w:val="Odstavecseseznamem"/>
        <w:numPr>
          <w:ilvl w:val="1"/>
          <w:numId w:val="1"/>
        </w:numPr>
        <w:spacing w:before="240" w:after="240" w:line="276" w:lineRule="auto"/>
        <w:contextualSpacing w:val="0"/>
        <w:jc w:val="both"/>
        <w:rPr>
          <w:rFonts w:ascii="Arial" w:hAnsi="Arial" w:cs="Arial"/>
        </w:rPr>
      </w:pPr>
      <w:bookmarkStart w:id="81" w:name="_Ref166596735"/>
      <w:r>
        <w:rPr>
          <w:rFonts w:ascii="Arial" w:hAnsi="Arial" w:cs="Arial"/>
          <w:color w:val="000000"/>
        </w:rPr>
        <w:t>povahou zpracování osobních údajů je náhled na osobní údaje správce osobních údajů v souvislosti s plněním závazků této Smlouvy;</w:t>
      </w:r>
      <w:bookmarkEnd w:id="81"/>
    </w:p>
    <w:p>
      <w:pPr>
        <w:pStyle w:val="Odstavecseseznamem"/>
        <w:numPr>
          <w:ilvl w:val="1"/>
          <w:numId w:val="1"/>
        </w:numPr>
        <w:spacing w:before="240" w:after="240" w:line="276" w:lineRule="auto"/>
        <w:contextualSpacing w:val="0"/>
        <w:jc w:val="both"/>
        <w:rPr>
          <w:rFonts w:ascii="Arial" w:hAnsi="Arial" w:cs="Arial"/>
        </w:rPr>
      </w:pPr>
      <w:bookmarkStart w:id="82" w:name="_Ref166596737"/>
      <w:r>
        <w:rPr>
          <w:rFonts w:ascii="Arial" w:hAnsi="Arial" w:cs="Arial"/>
          <w:color w:val="000000"/>
        </w:rPr>
        <w:t>účelem zpracování osobních údajů je náhled na osobní údaje správce osobních údajů v souvislosti s plněním závazků této Smlouvy;</w:t>
      </w:r>
      <w:bookmarkEnd w:id="82"/>
    </w:p>
    <w:p>
      <w:pPr>
        <w:pStyle w:val="Odstavecseseznamem"/>
        <w:numPr>
          <w:ilvl w:val="1"/>
          <w:numId w:val="1"/>
        </w:numPr>
        <w:spacing w:before="240" w:after="240" w:line="276" w:lineRule="auto"/>
        <w:contextualSpacing w:val="0"/>
        <w:jc w:val="both"/>
        <w:rPr>
          <w:rFonts w:ascii="Arial" w:hAnsi="Arial" w:cs="Arial"/>
        </w:rPr>
      </w:pPr>
      <w:r>
        <w:rPr>
          <w:rFonts w:ascii="Arial" w:hAnsi="Arial" w:cs="Arial"/>
          <w:color w:val="000000"/>
        </w:rPr>
        <w:t>typem zpracovávaných osobních údajů jsou zpravidla identifikační, adresní, popisné a případně jiné osobní údaje subjektů údajů;</w:t>
      </w:r>
    </w:p>
    <w:p>
      <w:pPr>
        <w:pStyle w:val="Odstavecseseznamem"/>
        <w:numPr>
          <w:ilvl w:val="1"/>
          <w:numId w:val="1"/>
        </w:numPr>
        <w:spacing w:before="240" w:after="240" w:line="276" w:lineRule="auto"/>
        <w:contextualSpacing w:val="0"/>
        <w:jc w:val="both"/>
        <w:rPr>
          <w:rFonts w:ascii="Arial" w:hAnsi="Arial" w:cs="Arial"/>
        </w:rPr>
      </w:pPr>
      <w:r>
        <w:rPr>
          <w:rFonts w:ascii="Arial" w:hAnsi="Arial" w:cs="Arial"/>
          <w:color w:val="000000"/>
        </w:rPr>
        <w:t>kategorií subjektů údajů jsou zpravidla fyzické osoby, které jsou ve vztahu se správcem osobních údajů.</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color w:val="000000"/>
        </w:rPr>
        <w:lastRenderedPageBreak/>
        <w:t xml:space="preserve">Objednatel, tj. správce osobních údajů, se zavazuje dodržovat veškeré povinnosti, které jsou mu kladeny v souvislosti se zpracováním osobních údajů ve smyslu GDPR, zejména pak určit účel a prostředky zpracování osobních údajů. </w:t>
      </w:r>
    </w:p>
    <w:p>
      <w:pPr>
        <w:pStyle w:val="Odstavecseseznamem"/>
        <w:numPr>
          <w:ilvl w:val="0"/>
          <w:numId w:val="1"/>
        </w:numPr>
        <w:spacing w:before="240" w:after="240" w:line="276" w:lineRule="auto"/>
        <w:contextualSpacing w:val="0"/>
        <w:jc w:val="both"/>
        <w:rPr>
          <w:rFonts w:ascii="Arial" w:hAnsi="Arial" w:cs="Arial"/>
        </w:rPr>
      </w:pPr>
      <w:bookmarkStart w:id="83" w:name="_Ref166596796"/>
      <w:r>
        <w:rPr>
          <w:rFonts w:ascii="Arial" w:hAnsi="Arial" w:cs="Arial"/>
          <w:color w:val="000000"/>
        </w:rPr>
        <w:t>Objednatel, tj. správce osobních údajů, se zavazuje vůči Dodavateli, tj. zpracovateli osobních údajů, vydávat a dokladovat pokyny, které budou definovat, případně upřesňovat způsob zpracování osobních údajů v souladu s GDPR.</w:t>
      </w:r>
      <w:bookmarkEnd w:id="83"/>
      <w:r>
        <w:rPr>
          <w:rFonts w:ascii="Arial" w:hAnsi="Arial" w:cs="Arial"/>
          <w:color w:val="000000"/>
        </w:rPr>
        <w:t xml:space="preserve"> </w:t>
      </w:r>
    </w:p>
    <w:p>
      <w:pPr>
        <w:pStyle w:val="Odstavecseseznamem"/>
        <w:numPr>
          <w:ilvl w:val="0"/>
          <w:numId w:val="1"/>
        </w:numPr>
        <w:spacing w:before="240" w:after="240" w:line="276" w:lineRule="auto"/>
        <w:contextualSpacing w:val="0"/>
        <w:jc w:val="both"/>
        <w:rPr>
          <w:rFonts w:ascii="Arial" w:hAnsi="Arial" w:cs="Arial"/>
        </w:rPr>
      </w:pPr>
      <w:bookmarkStart w:id="84" w:name="_Ref166597548"/>
      <w:r>
        <w:rPr>
          <w:rFonts w:ascii="Arial" w:hAnsi="Arial" w:cs="Arial"/>
          <w:color w:val="000000"/>
        </w:rPr>
        <w:t>Objednatel, tj. správce osobních údajů, tímto obecně písemně povoluje Dodavateli, tj. zpracovateli osobních údajů zapojit do zpracování dalšího zpracovatele za podmínky, že zapojení takovéhoto dalšího zpracovatele vždy podléhá předchozímu písemnému souhlasu ze strany Objednatele. Souhlasy dle tohoto ustanovení Smlouvy bude poskytovat Objednatel prostřednictvím svého zástupce.</w:t>
      </w:r>
      <w:bookmarkEnd w:id="84"/>
      <w:r>
        <w:rPr>
          <w:rFonts w:ascii="Arial" w:hAnsi="Arial" w:cs="Arial"/>
          <w:color w:val="000000"/>
        </w:rPr>
        <w:t xml:space="preserve"> </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color w:val="000000"/>
        </w:rPr>
        <w:t>Dodavatel, tj. zpracovatel osobních údajů, se zavazuje:</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 xml:space="preserve">dodržovat veškeré povinnosti, které jsou mu kladeny v souvislosti se zpracováním osobních údajů ve smyslu GDPR, a to s přihlédnutím k povaze a účelu zpracování osobních údajů dle </w:t>
      </w:r>
      <w:proofErr w:type="spellStart"/>
      <w:r>
        <w:rPr>
          <w:rFonts w:ascii="Arial" w:hAnsi="Arial" w:cs="Arial"/>
          <w:color w:val="000000"/>
        </w:rPr>
        <w:t>pododst</w:t>
      </w:r>
      <w:proofErr w:type="spellEnd"/>
      <w:r>
        <w:rPr>
          <w:rFonts w:ascii="Arial" w:hAnsi="Arial" w:cs="Arial"/>
          <w:color w:val="000000"/>
        </w:rPr>
        <w:t xml:space="preserve">. </w:t>
      </w:r>
      <w:r>
        <w:rPr>
          <w:rFonts w:ascii="Arial" w:hAnsi="Arial" w:cs="Arial"/>
          <w:color w:val="000000"/>
        </w:rPr>
        <w:fldChar w:fldCharType="begin"/>
      </w:r>
      <w:r>
        <w:rPr>
          <w:rFonts w:ascii="Arial" w:hAnsi="Arial" w:cs="Arial"/>
          <w:color w:val="000000"/>
        </w:rPr>
        <w:instrText xml:space="preserve"> REF _Ref166596735 \r \h </w:instrText>
      </w:r>
      <w:r>
        <w:rPr>
          <w:rFonts w:ascii="Arial" w:hAnsi="Arial" w:cs="Arial"/>
          <w:color w:val="000000"/>
        </w:rPr>
      </w:r>
      <w:r>
        <w:rPr>
          <w:rFonts w:ascii="Arial" w:hAnsi="Arial" w:cs="Arial"/>
          <w:color w:val="000000"/>
        </w:rPr>
        <w:fldChar w:fldCharType="separate"/>
      </w:r>
      <w:r>
        <w:rPr>
          <w:rFonts w:ascii="Arial" w:hAnsi="Arial" w:cs="Arial"/>
          <w:color w:val="000000"/>
        </w:rPr>
        <w:t>56.3</w:t>
      </w:r>
      <w:r>
        <w:rPr>
          <w:rFonts w:ascii="Arial" w:hAnsi="Arial" w:cs="Arial"/>
          <w:color w:val="000000"/>
        </w:rPr>
        <w:fldChar w:fldCharType="end"/>
      </w:r>
      <w:r>
        <w:rPr>
          <w:rFonts w:ascii="Arial" w:hAnsi="Arial" w:cs="Arial"/>
          <w:color w:val="000000"/>
        </w:rPr>
        <w:t xml:space="preserve"> a </w:t>
      </w:r>
      <w:r>
        <w:rPr>
          <w:rFonts w:ascii="Arial" w:hAnsi="Arial" w:cs="Arial"/>
          <w:color w:val="000000"/>
        </w:rPr>
        <w:fldChar w:fldCharType="begin"/>
      </w:r>
      <w:r>
        <w:rPr>
          <w:rFonts w:ascii="Arial" w:hAnsi="Arial" w:cs="Arial"/>
          <w:color w:val="000000"/>
        </w:rPr>
        <w:instrText xml:space="preserve"> REF _Ref166596737 \r \h </w:instrText>
      </w:r>
      <w:r>
        <w:rPr>
          <w:rFonts w:ascii="Arial" w:hAnsi="Arial" w:cs="Arial"/>
          <w:color w:val="000000"/>
        </w:rPr>
      </w:r>
      <w:r>
        <w:rPr>
          <w:rFonts w:ascii="Arial" w:hAnsi="Arial" w:cs="Arial"/>
          <w:color w:val="000000"/>
        </w:rPr>
        <w:fldChar w:fldCharType="separate"/>
      </w:r>
      <w:r>
        <w:rPr>
          <w:rFonts w:ascii="Arial" w:hAnsi="Arial" w:cs="Arial"/>
          <w:color w:val="000000"/>
        </w:rPr>
        <w:t>56.4</w:t>
      </w:r>
      <w:r>
        <w:rPr>
          <w:rFonts w:ascii="Arial" w:hAnsi="Arial" w:cs="Arial"/>
          <w:color w:val="000000"/>
        </w:rPr>
        <w:fldChar w:fldCharType="end"/>
      </w:r>
      <w:r>
        <w:rPr>
          <w:rFonts w:ascii="Arial" w:hAnsi="Arial" w:cs="Arial"/>
          <w:color w:val="000000"/>
        </w:rPr>
        <w:t xml:space="preserve"> této Smlouvy;</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 xml:space="preserve">zpracovávat osobní údaje na základě doložených pokynů Objednatele dle odst. </w:t>
      </w:r>
      <w:r>
        <w:rPr>
          <w:rFonts w:ascii="Arial" w:hAnsi="Arial" w:cs="Arial"/>
          <w:color w:val="000000"/>
        </w:rPr>
        <w:fldChar w:fldCharType="begin"/>
      </w:r>
      <w:r>
        <w:rPr>
          <w:rFonts w:ascii="Arial" w:hAnsi="Arial" w:cs="Arial"/>
          <w:color w:val="000000"/>
        </w:rPr>
        <w:instrText xml:space="preserve"> REF _Ref166596796 \r \h </w:instrText>
      </w:r>
      <w:r>
        <w:rPr>
          <w:rFonts w:ascii="Arial" w:hAnsi="Arial" w:cs="Arial"/>
          <w:color w:val="000000"/>
        </w:rPr>
      </w:r>
      <w:r>
        <w:rPr>
          <w:rFonts w:ascii="Arial" w:hAnsi="Arial" w:cs="Arial"/>
          <w:color w:val="000000"/>
        </w:rPr>
        <w:fldChar w:fldCharType="separate"/>
      </w:r>
      <w:r>
        <w:rPr>
          <w:rFonts w:ascii="Arial" w:hAnsi="Arial" w:cs="Arial"/>
          <w:color w:val="000000"/>
        </w:rPr>
        <w:t>58</w:t>
      </w:r>
      <w:r>
        <w:rPr>
          <w:rFonts w:ascii="Arial" w:hAnsi="Arial" w:cs="Arial"/>
          <w:color w:val="000000"/>
        </w:rPr>
        <w:fldChar w:fldCharType="end"/>
      </w:r>
      <w:r>
        <w:rPr>
          <w:rFonts w:ascii="Arial" w:hAnsi="Arial" w:cs="Arial"/>
          <w:color w:val="000000"/>
        </w:rPr>
        <w:t xml:space="preserve"> této Smlouvy včetně otázek předání osobních údajů do třetí země nebo mezinárodní organizaci ve smyslu legislativy uvedené v GDPR, pokud mu toto zpracování již neukládá právo Evropské unie nebo členského státu, které se na správce osobních údajů vztahuje. V takovém případě Dodavatel informuje Objednatele o tomto právním požadavku před zpracováním osobních údajů, ledaže by tyto právní předpisy toto informování zakazovaly z důležitých důvodů veřejného zájmu;</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zajistit, aby se osoby Dodavatele oprávněné zpracovávat osobních údaje zavázaly k mlčenlivosti nebo aby se na ně vztahovala zákonná povinnost mlčenlivosti o osobních údajích a o bezpečnostních opatřeních, jejichž zveřejnění by ohrozilo zabezpečení osobních údajů, včetně povinnosti zachovat tuto mlčenlivost i po skončení zaměstnání nebo příslušných prací;</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 xml:space="preserve">přijmout všechna nezbytná a přiměřená opatření požadovaná platnými právními předpisy a čl. 32 GDPR, a to vzhledem k povaze a účelu zpracování osobních údajů dle </w:t>
      </w:r>
      <w:proofErr w:type="spellStart"/>
      <w:r>
        <w:rPr>
          <w:rFonts w:ascii="Arial" w:hAnsi="Arial" w:cs="Arial"/>
          <w:color w:val="000000"/>
        </w:rPr>
        <w:t>pododst</w:t>
      </w:r>
      <w:proofErr w:type="spellEnd"/>
      <w:r>
        <w:rPr>
          <w:rFonts w:ascii="Arial" w:hAnsi="Arial" w:cs="Arial"/>
          <w:color w:val="000000"/>
        </w:rPr>
        <w:t xml:space="preserve">. </w:t>
      </w:r>
      <w:r>
        <w:rPr>
          <w:rFonts w:ascii="Arial" w:hAnsi="Arial" w:cs="Arial"/>
          <w:color w:val="000000"/>
        </w:rPr>
        <w:fldChar w:fldCharType="begin"/>
      </w:r>
      <w:r>
        <w:rPr>
          <w:rFonts w:ascii="Arial" w:hAnsi="Arial" w:cs="Arial"/>
          <w:color w:val="000000"/>
        </w:rPr>
        <w:instrText xml:space="preserve"> REF _Ref166596735 \r \h </w:instrText>
      </w:r>
      <w:r>
        <w:rPr>
          <w:rFonts w:ascii="Arial" w:hAnsi="Arial" w:cs="Arial"/>
          <w:color w:val="000000"/>
        </w:rPr>
      </w:r>
      <w:r>
        <w:rPr>
          <w:rFonts w:ascii="Arial" w:hAnsi="Arial" w:cs="Arial"/>
          <w:color w:val="000000"/>
        </w:rPr>
        <w:fldChar w:fldCharType="separate"/>
      </w:r>
      <w:r>
        <w:rPr>
          <w:rFonts w:ascii="Arial" w:hAnsi="Arial" w:cs="Arial"/>
          <w:color w:val="000000"/>
        </w:rPr>
        <w:t>56.3</w:t>
      </w:r>
      <w:r>
        <w:rPr>
          <w:rFonts w:ascii="Arial" w:hAnsi="Arial" w:cs="Arial"/>
          <w:color w:val="000000"/>
        </w:rPr>
        <w:fldChar w:fldCharType="end"/>
      </w:r>
      <w:r>
        <w:rPr>
          <w:rFonts w:ascii="Arial" w:hAnsi="Arial" w:cs="Arial"/>
          <w:color w:val="000000"/>
        </w:rPr>
        <w:t xml:space="preserve"> a </w:t>
      </w:r>
      <w:r>
        <w:rPr>
          <w:rFonts w:ascii="Arial" w:hAnsi="Arial" w:cs="Arial"/>
          <w:color w:val="000000"/>
        </w:rPr>
        <w:fldChar w:fldCharType="begin"/>
      </w:r>
      <w:r>
        <w:rPr>
          <w:rFonts w:ascii="Arial" w:hAnsi="Arial" w:cs="Arial"/>
          <w:color w:val="000000"/>
        </w:rPr>
        <w:instrText xml:space="preserve"> REF _Ref166596737 \r \h </w:instrText>
      </w:r>
      <w:r>
        <w:rPr>
          <w:rFonts w:ascii="Arial" w:hAnsi="Arial" w:cs="Arial"/>
          <w:color w:val="000000"/>
        </w:rPr>
      </w:r>
      <w:r>
        <w:rPr>
          <w:rFonts w:ascii="Arial" w:hAnsi="Arial" w:cs="Arial"/>
          <w:color w:val="000000"/>
        </w:rPr>
        <w:fldChar w:fldCharType="separate"/>
      </w:r>
      <w:r>
        <w:rPr>
          <w:rFonts w:ascii="Arial" w:hAnsi="Arial" w:cs="Arial"/>
          <w:color w:val="000000"/>
        </w:rPr>
        <w:t>56.4</w:t>
      </w:r>
      <w:r>
        <w:rPr>
          <w:rFonts w:ascii="Arial" w:hAnsi="Arial" w:cs="Arial"/>
          <w:color w:val="000000"/>
        </w:rPr>
        <w:fldChar w:fldCharType="end"/>
      </w:r>
      <w:r>
        <w:rPr>
          <w:rFonts w:ascii="Arial" w:hAnsi="Arial" w:cs="Arial"/>
          <w:color w:val="000000"/>
        </w:rPr>
        <w:t xml:space="preserve"> této Smlouvy. Dodavatel je povinen, vyjma odkazovaného, zajistit vhodná technickoorganizační opatření, aby zajistil úroveň zabezpečení odpovídající daným rizikům, v souladu s bezpečnostní politikou Objednatele. Dodavatel zapojí do zpracování dalšího zpracovatele za splnění podmínky uvedené v odst. </w:t>
      </w:r>
      <w:r>
        <w:rPr>
          <w:rFonts w:ascii="Arial" w:hAnsi="Arial" w:cs="Arial"/>
          <w:color w:val="000000"/>
        </w:rPr>
        <w:fldChar w:fldCharType="begin"/>
      </w:r>
      <w:r>
        <w:rPr>
          <w:rFonts w:ascii="Arial" w:hAnsi="Arial" w:cs="Arial"/>
          <w:color w:val="000000"/>
        </w:rPr>
        <w:instrText xml:space="preserve"> REF _Ref166597548 \r \h </w:instrText>
      </w:r>
      <w:r>
        <w:rPr>
          <w:rFonts w:ascii="Arial" w:hAnsi="Arial" w:cs="Arial"/>
          <w:color w:val="000000"/>
        </w:rPr>
      </w:r>
      <w:r>
        <w:rPr>
          <w:rFonts w:ascii="Arial" w:hAnsi="Arial" w:cs="Arial"/>
          <w:color w:val="000000"/>
        </w:rPr>
        <w:fldChar w:fldCharType="separate"/>
      </w:r>
      <w:r>
        <w:rPr>
          <w:rFonts w:ascii="Arial" w:hAnsi="Arial" w:cs="Arial"/>
          <w:color w:val="000000"/>
        </w:rPr>
        <w:t>59</w:t>
      </w:r>
      <w:r>
        <w:rPr>
          <w:rFonts w:ascii="Arial" w:hAnsi="Arial" w:cs="Arial"/>
          <w:color w:val="000000"/>
        </w:rPr>
        <w:fldChar w:fldCharType="end"/>
      </w:r>
      <w:r>
        <w:rPr>
          <w:rFonts w:ascii="Arial" w:hAnsi="Arial" w:cs="Arial"/>
          <w:color w:val="000000"/>
        </w:rPr>
        <w:t xml:space="preserve"> této Smlouvy;</w:t>
      </w:r>
    </w:p>
    <w:p>
      <w:pPr>
        <w:pStyle w:val="Odstavecseseznamem"/>
        <w:numPr>
          <w:ilvl w:val="1"/>
          <w:numId w:val="1"/>
        </w:numPr>
        <w:spacing w:before="240" w:after="240" w:line="276" w:lineRule="auto"/>
        <w:contextualSpacing w:val="0"/>
        <w:jc w:val="both"/>
        <w:rPr>
          <w:rFonts w:ascii="Arial" w:hAnsi="Arial" w:cs="Arial"/>
          <w:color w:val="000000"/>
        </w:rPr>
      </w:pPr>
      <w:r>
        <w:rPr>
          <w:rFonts w:ascii="Arial" w:hAnsi="Arial" w:cs="Arial"/>
          <w:color w:val="000000"/>
        </w:rPr>
        <w:t>informovat Objednatele, a to neprodleně, v případě, že podle názoru Dodavatele určitý pokyn Objednatele porušuje GDPR nebo jiné předpisy Evropské unie nebo členského státu týkající se ochrany osobních údajů.</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r>
        <w:rPr>
          <w:rFonts w:ascii="Arial" w:hAnsi="Arial" w:cs="Arial"/>
          <w:b/>
          <w:bCs/>
        </w:rPr>
        <w:lastRenderedPageBreak/>
        <w:t>PODDODAVATELÉ</w:t>
      </w:r>
    </w:p>
    <w:p>
      <w:pPr>
        <w:pStyle w:val="Odstavecseseznamem"/>
        <w:keepNext/>
        <w:numPr>
          <w:ilvl w:val="0"/>
          <w:numId w:val="1"/>
        </w:numPr>
        <w:spacing w:before="240" w:after="240" w:line="276" w:lineRule="auto"/>
        <w:contextualSpacing w:val="0"/>
        <w:jc w:val="both"/>
        <w:rPr>
          <w:rFonts w:ascii="Arial" w:hAnsi="Arial" w:cs="Arial"/>
          <w:color w:val="000000"/>
        </w:rPr>
      </w:pPr>
      <w:r>
        <w:rPr>
          <w:rFonts w:ascii="Arial" w:hAnsi="Arial" w:cs="Arial"/>
        </w:rPr>
        <w:t xml:space="preserve">Objednatel umožňuje, aby Dodavatel realizoval část Předmětu plnění prostřednictvím poddodavatele. </w:t>
      </w:r>
      <w:bookmarkEnd w:id="71"/>
      <w:r>
        <w:rPr>
          <w:rFonts w:ascii="Arial" w:hAnsi="Arial" w:cs="Arial"/>
          <w:color w:val="000000"/>
        </w:rPr>
        <w:t>Provedení části Předmětu plnění poddodavatelem nezbavuje Dodavatele jeho výlučné odpovědnosti za řádné provedení plnění vůči Objednateli. Dodavatel odpovídá Objednateli za Předmět plnění, který svěřil poddodavateli, ve stejném rozsahu, jako by jej poskytoval sám.</w:t>
      </w:r>
    </w:p>
    <w:p>
      <w:pPr>
        <w:pStyle w:val="Odstavecseseznamem"/>
        <w:keepNext/>
        <w:numPr>
          <w:ilvl w:val="0"/>
          <w:numId w:val="1"/>
        </w:numPr>
        <w:spacing w:before="240" w:after="240" w:line="276" w:lineRule="auto"/>
        <w:contextualSpacing w:val="0"/>
        <w:jc w:val="both"/>
        <w:rPr>
          <w:rFonts w:ascii="Arial" w:hAnsi="Arial" w:cs="Arial"/>
        </w:rPr>
      </w:pPr>
      <w:r>
        <w:rPr>
          <w:rFonts w:ascii="Arial" w:hAnsi="Arial" w:cs="Arial"/>
        </w:rPr>
        <w:t xml:space="preserve">V případě, že Dodavatel bude k plnění předmětu Smlouvy využívat Poddodavatele, je Dodavatel povinen Poddodavatele smluvně zavázat k dodržování povinností minimálně v rozsahu, v jakém je k nim povinen Dodavatel podle této Smlouvy včetně jejích Příloh. </w:t>
      </w:r>
    </w:p>
    <w:p>
      <w:pPr>
        <w:pStyle w:val="Odstavecseseznamem"/>
        <w:numPr>
          <w:ilvl w:val="0"/>
          <w:numId w:val="1"/>
        </w:numPr>
        <w:spacing w:before="240" w:after="240" w:line="276" w:lineRule="auto"/>
        <w:contextualSpacing w:val="0"/>
        <w:jc w:val="both"/>
        <w:rPr>
          <w:rFonts w:ascii="Arial" w:hAnsi="Arial" w:cs="Arial"/>
          <w:color w:val="000000"/>
        </w:rPr>
      </w:pPr>
      <w:r>
        <w:rPr>
          <w:rFonts w:ascii="Arial" w:hAnsi="Arial" w:cs="Arial"/>
          <w:color w:val="000000"/>
          <w:highlight w:val="white"/>
        </w:rPr>
        <w:t xml:space="preserve">Dodavatel </w:t>
      </w:r>
      <w:r>
        <w:rPr>
          <w:rFonts w:ascii="Arial" w:hAnsi="Arial" w:cs="Arial"/>
          <w:color w:val="000000"/>
        </w:rPr>
        <w:t>se zavazuje uvést poddodavatele, jehož hodlá využít k plnění dle této Smlouvy, v příloze č. 3 Smlouvy</w:t>
      </w:r>
      <w:r>
        <w:rPr>
          <w:rFonts w:ascii="Arial" w:hAnsi="Arial" w:cs="Arial"/>
        </w:rPr>
        <w:t>. Neuvede</w:t>
      </w:r>
      <w:r>
        <w:rPr>
          <w:rFonts w:ascii="Arial" w:hAnsi="Arial" w:cs="Arial"/>
          <w:highlight w:val="white"/>
        </w:rPr>
        <w:t>-li v této příloze žádné poddodavatele, má se za to, že žádné poddodavatele k plnění Smlouvy nehodlá využít. V případě nutnosti změny poddodavatele či využití nového poddodavatele v průběhu plnění Smlouvy se Dodavatel zavazuje tuto změnu oznámit Objednateli nejméně 15 dnů předtím, než se nový poddodavatel začne podílet na plnění Smlouvy. Objednatel je oprávněn vyžádat si informace o novém poddodavateli a je oprávněn změnu poddodavatele či využití nového poddodavatele odmítnout do 10 dnů od oznámení či od poskytnutí vyžádaných informací ze strany Dodavatele</w:t>
      </w:r>
      <w:r>
        <w:rPr>
          <w:rFonts w:ascii="Arial" w:hAnsi="Arial" w:cs="Arial"/>
        </w:rPr>
        <w:t xml:space="preserve">, a to především pro </w:t>
      </w:r>
      <w:r>
        <w:rPr>
          <w:rFonts w:ascii="Arial" w:hAnsi="Arial" w:cs="Arial"/>
          <w:color w:val="000000"/>
          <w:highlight w:val="white"/>
        </w:rPr>
        <w:t>důvodnou pochybnost o řádném plnění Smlouvy poddodavatelem, riziko zvýšení nákladů Objednatele či zvýšení administrativní zátěže pro Objednatele v případě navržené změny</w:t>
      </w:r>
      <w:r>
        <w:rPr>
          <w:rFonts w:ascii="Arial" w:hAnsi="Arial" w:cs="Arial"/>
          <w:color w:val="000000"/>
        </w:rPr>
        <w:t>.</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V případě, že Dodavatel hodlá pro Předmět plnění změnit poddodavatele, jehož prostřednictvím Dodavatel prokazoval část kvalifikace v Řízení veřejné zakázky, je Dodavatel povinen Objednateli před takovou změnou předložit doklady prokazující kvalifikaci nového poddodavatele v minimálně stejném rozsahu, v jakém se na prokázání kvalifikace podílel původní poddodavatel. Posouzení změny poddodavatele následně proběhne dle postupu v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_Ref163726656 \r \h </w:instrText>
      </w:r>
      <w:r>
        <w:rPr>
          <w:rFonts w:ascii="Arial" w:hAnsi="Arial" w:cs="Arial"/>
        </w:rPr>
      </w:r>
      <w:r>
        <w:rPr>
          <w:rFonts w:ascii="Arial" w:hAnsi="Arial" w:cs="Arial"/>
        </w:rPr>
        <w:fldChar w:fldCharType="separate"/>
      </w:r>
      <w:r>
        <w:rPr>
          <w:rFonts w:ascii="Arial" w:hAnsi="Arial" w:cs="Arial"/>
        </w:rPr>
        <w:t>50.3</w:t>
      </w:r>
      <w:r>
        <w:rPr>
          <w:rFonts w:ascii="Arial" w:hAnsi="Arial" w:cs="Arial"/>
        </w:rPr>
        <w:fldChar w:fldCharType="end"/>
      </w:r>
      <w:r>
        <w:rPr>
          <w:rFonts w:ascii="Arial" w:hAnsi="Arial" w:cs="Arial"/>
        </w:rPr>
        <w:t xml:space="preserve"> a </w:t>
      </w:r>
      <w:r>
        <w:rPr>
          <w:rFonts w:ascii="Arial" w:hAnsi="Arial" w:cs="Arial"/>
        </w:rPr>
        <w:fldChar w:fldCharType="begin"/>
      </w:r>
      <w:r>
        <w:rPr>
          <w:rFonts w:ascii="Arial" w:hAnsi="Arial" w:cs="Arial"/>
        </w:rPr>
        <w:instrText xml:space="preserve"> REF _Ref163726658 \r \h </w:instrText>
      </w:r>
      <w:r>
        <w:rPr>
          <w:rFonts w:ascii="Arial" w:hAnsi="Arial" w:cs="Arial"/>
        </w:rPr>
      </w:r>
      <w:r>
        <w:rPr>
          <w:rFonts w:ascii="Arial" w:hAnsi="Arial" w:cs="Arial"/>
        </w:rPr>
        <w:fldChar w:fldCharType="separate"/>
      </w:r>
      <w:r>
        <w:rPr>
          <w:rFonts w:ascii="Arial" w:hAnsi="Arial" w:cs="Arial"/>
        </w:rPr>
        <w:t>50.5</w:t>
      </w:r>
      <w:r>
        <w:rPr>
          <w:rFonts w:ascii="Arial" w:hAnsi="Arial" w:cs="Arial"/>
        </w:rPr>
        <w:fldChar w:fldCharType="end"/>
      </w:r>
      <w:r>
        <w:rPr>
          <w:rFonts w:ascii="Arial" w:hAnsi="Arial" w:cs="Arial"/>
        </w:rPr>
        <w:t xml:space="preserve"> této Smlouvy. </w:t>
      </w:r>
    </w:p>
    <w:p>
      <w:pPr>
        <w:pStyle w:val="Odstavecseseznamem"/>
        <w:keepNext/>
        <w:numPr>
          <w:ilvl w:val="0"/>
          <w:numId w:val="2"/>
        </w:numPr>
        <w:spacing w:before="240" w:after="240" w:line="276" w:lineRule="auto"/>
        <w:ind w:left="714" w:hanging="357"/>
        <w:contextualSpacing w:val="0"/>
        <w:jc w:val="center"/>
        <w:rPr>
          <w:rFonts w:ascii="Arial" w:hAnsi="Arial" w:cs="Arial"/>
          <w:b/>
          <w:bCs/>
        </w:rPr>
      </w:pPr>
      <w:bookmarkStart w:id="85" w:name="__RefHeading___Toc624_293221212"/>
      <w:bookmarkStart w:id="86" w:name="_Toc73341514"/>
      <w:bookmarkEnd w:id="85"/>
      <w:r>
        <w:rPr>
          <w:rFonts w:ascii="Arial" w:hAnsi="Arial" w:cs="Arial"/>
          <w:b/>
          <w:bCs/>
        </w:rPr>
        <w:t>ODMĚNA ZA PŘEDMĚT PLNĚNÍ A PLATEBNÍ PODMÍNKY</w:t>
      </w:r>
    </w:p>
    <w:bookmarkEnd w:id="86"/>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Smluvní strany tímto sjednávají, že odměny popsané níže v tomto článku zahrnují odměnu za veškeré činnosti prováděné na základě této Smlouvy a také veškeré náklady Dodavatele spojené s plněním této Smlouvy (dále jen „</w:t>
      </w:r>
      <w:r>
        <w:rPr>
          <w:rFonts w:ascii="Arial" w:hAnsi="Arial" w:cs="Arial"/>
          <w:b/>
          <w:bCs/>
        </w:rPr>
        <w:t>Odměna</w:t>
      </w:r>
      <w:r>
        <w:rPr>
          <w:rFonts w:ascii="Arial" w:hAnsi="Arial" w:cs="Arial"/>
        </w:rPr>
        <w:t>“). Odměna se skládá z těchto dílčích částí:</w:t>
      </w:r>
    </w:p>
    <w:p>
      <w:pPr>
        <w:pStyle w:val="Odstavecseseznamem"/>
        <w:numPr>
          <w:ilvl w:val="1"/>
          <w:numId w:val="1"/>
        </w:numPr>
        <w:spacing w:before="240" w:after="240" w:line="276" w:lineRule="auto"/>
        <w:contextualSpacing w:val="0"/>
        <w:jc w:val="both"/>
        <w:rPr>
          <w:rFonts w:ascii="Arial" w:hAnsi="Arial" w:cs="Arial"/>
        </w:rPr>
      </w:pPr>
      <w:r>
        <w:rPr>
          <w:rFonts w:ascii="Arial" w:hAnsi="Arial" w:cs="Arial"/>
          <w:b/>
          <w:bCs/>
        </w:rPr>
        <w:t>Odměna za Část plnění Dodávka</w:t>
      </w:r>
      <w:r>
        <w:rPr>
          <w:rFonts w:ascii="Arial" w:hAnsi="Arial" w:cs="Arial"/>
        </w:rPr>
        <w:t xml:space="preserve"> (dále jen „</w:t>
      </w:r>
      <w:r>
        <w:rPr>
          <w:rFonts w:ascii="Arial" w:hAnsi="Arial" w:cs="Arial"/>
          <w:b/>
          <w:bCs/>
        </w:rPr>
        <w:t>Odměna za Dodávku</w:t>
      </w:r>
      <w:r>
        <w:rPr>
          <w:rFonts w:ascii="Arial" w:hAnsi="Arial" w:cs="Arial"/>
        </w:rPr>
        <w:t xml:space="preserve">“) činí </w:t>
      </w:r>
      <w:r>
        <w:rPr>
          <w:rFonts w:ascii="Arial" w:hAnsi="Arial" w:cs="Arial"/>
          <w:highlight w:val="cyan"/>
        </w:rPr>
        <w:t>[vyplní účastník]</w:t>
      </w:r>
      <w:r>
        <w:rPr>
          <w:rFonts w:ascii="Arial" w:hAnsi="Arial" w:cs="Arial"/>
        </w:rPr>
        <w:t xml:space="preserve"> </w:t>
      </w:r>
      <w:r>
        <w:rPr>
          <w:rFonts w:ascii="Arial" w:hAnsi="Arial" w:cs="Arial"/>
          <w:b/>
          <w:bCs/>
        </w:rPr>
        <w:t>Kč bez DPH</w:t>
      </w:r>
      <w:r>
        <w:rPr>
          <w:rFonts w:ascii="Arial" w:hAnsi="Arial" w:cs="Arial"/>
        </w:rPr>
        <w:t>, která vyplývá z podrobné cenové kalkulace, která tvoří přílohu č. 2 této Smlouvy. Odměna za Dodávku je stanovena jako nejvýše přípustná a nepřekročitelná s výjimkou Zjištěné inflace a dalších výjimek stanovených ve Smlouvě. Dodavatel dále prohlašuje, že Odměna za Dodávku je stanovena i s přihlédnutím k vývoji cen v daném oboru včetně vývoje kurzu české měny k zahraničním měnám, a to po celou dobu trvání závazků ze Smlouvy. Dodavatel nemá právo domáhat se navýšení Odměna za Dodávku z důvodů chyb nebo nedostatků jím učiněných při určení Odměny za Dodávku</w:t>
      </w:r>
    </w:p>
    <w:p>
      <w:pPr>
        <w:pStyle w:val="Odstavecseseznamem"/>
        <w:numPr>
          <w:ilvl w:val="1"/>
          <w:numId w:val="1"/>
        </w:numPr>
        <w:spacing w:before="240" w:after="240" w:line="276" w:lineRule="auto"/>
        <w:contextualSpacing w:val="0"/>
        <w:jc w:val="both"/>
        <w:rPr>
          <w:rFonts w:ascii="Arial" w:hAnsi="Arial" w:cs="Arial"/>
        </w:rPr>
      </w:pPr>
      <w:bookmarkStart w:id="87" w:name="_Ref223332396"/>
      <w:r>
        <w:rPr>
          <w:rFonts w:ascii="Arial" w:hAnsi="Arial" w:cs="Arial"/>
          <w:b/>
          <w:bCs/>
        </w:rPr>
        <w:lastRenderedPageBreak/>
        <w:t>Odměna za Část plnění Vývoj</w:t>
      </w:r>
      <w:r>
        <w:rPr>
          <w:rFonts w:ascii="Arial" w:hAnsi="Arial" w:cs="Arial"/>
        </w:rPr>
        <w:t xml:space="preserve"> (dále jen „</w:t>
      </w:r>
      <w:r>
        <w:rPr>
          <w:rFonts w:ascii="Arial" w:hAnsi="Arial" w:cs="Arial"/>
          <w:b/>
        </w:rPr>
        <w:t>Odměna za Vývoj</w:t>
      </w:r>
      <w:r>
        <w:rPr>
          <w:rFonts w:ascii="Arial" w:hAnsi="Arial" w:cs="Arial"/>
        </w:rPr>
        <w:t>“) bude stanovena jako součin sazby za </w:t>
      </w:r>
      <w:proofErr w:type="spellStart"/>
      <w:r>
        <w:rPr>
          <w:rFonts w:ascii="Arial" w:hAnsi="Arial" w:cs="Arial"/>
        </w:rPr>
        <w:t>člověko</w:t>
      </w:r>
      <w:proofErr w:type="spellEnd"/>
      <w:r>
        <w:rPr>
          <w:rFonts w:ascii="Arial" w:hAnsi="Arial" w:cs="Arial"/>
        </w:rPr>
        <w:t xml:space="preserve">-hodinu a vykázaného množství práce příslušných pracovníků Dodavatele. Sazba za jednu </w:t>
      </w:r>
      <w:proofErr w:type="spellStart"/>
      <w:r>
        <w:rPr>
          <w:rFonts w:ascii="Arial" w:hAnsi="Arial" w:cs="Arial"/>
        </w:rPr>
        <w:t>člověko</w:t>
      </w:r>
      <w:proofErr w:type="spellEnd"/>
      <w:r>
        <w:rPr>
          <w:rFonts w:ascii="Arial" w:hAnsi="Arial" w:cs="Arial"/>
        </w:rPr>
        <w:t xml:space="preserve">-hodinu činí </w:t>
      </w:r>
      <w:r>
        <w:rPr>
          <w:rFonts w:ascii="Arial" w:hAnsi="Arial" w:cs="Arial"/>
          <w:highlight w:val="cyan"/>
        </w:rPr>
        <w:t>[vyplní účastník]</w:t>
      </w:r>
      <w:r>
        <w:rPr>
          <w:rFonts w:ascii="Arial" w:hAnsi="Arial" w:cs="Arial"/>
        </w:rPr>
        <w:t xml:space="preserve"> </w:t>
      </w:r>
      <w:r>
        <w:rPr>
          <w:rFonts w:ascii="Arial" w:hAnsi="Arial" w:cs="Arial"/>
          <w:b/>
          <w:bCs/>
        </w:rPr>
        <w:t>Kč bez DPH</w:t>
      </w:r>
      <w:r>
        <w:rPr>
          <w:rFonts w:ascii="Arial" w:hAnsi="Arial" w:cs="Arial"/>
        </w:rPr>
        <w:t xml:space="preserve">. Pro stanovení vykázaného množství práce příslušných pracovníků Dodavatele se použije </w:t>
      </w:r>
      <w:r>
        <w:rPr>
          <w:rFonts w:ascii="Arial" w:hAnsi="Arial" w:cs="Arial"/>
          <w:color w:val="000000" w:themeColor="text1"/>
        </w:rPr>
        <w:t xml:space="preserve">postup dle odst. </w:t>
      </w:r>
      <w:r>
        <w:rPr>
          <w:rFonts w:ascii="Arial" w:hAnsi="Arial" w:cs="Arial"/>
          <w:color w:val="000000" w:themeColor="text1"/>
        </w:rPr>
        <w:fldChar w:fldCharType="begin"/>
      </w:r>
      <w:r>
        <w:rPr>
          <w:rFonts w:ascii="Arial" w:hAnsi="Arial" w:cs="Arial"/>
          <w:color w:val="000000" w:themeColor="text1"/>
        </w:rPr>
        <w:instrText xml:space="preserve"> REF _Ref223349308 \r \h </w:instrText>
      </w:r>
      <w:r>
        <w:rPr>
          <w:rFonts w:ascii="Arial" w:hAnsi="Arial" w:cs="Arial"/>
          <w:color w:val="000000" w:themeColor="text1"/>
        </w:rPr>
      </w:r>
      <w:r>
        <w:rPr>
          <w:rFonts w:ascii="Arial" w:hAnsi="Arial" w:cs="Arial"/>
          <w:color w:val="000000" w:themeColor="text1"/>
        </w:rPr>
        <w:fldChar w:fldCharType="separate"/>
      </w:r>
      <w:r>
        <w:rPr>
          <w:rFonts w:ascii="Arial" w:hAnsi="Arial" w:cs="Arial"/>
          <w:color w:val="000000" w:themeColor="text1"/>
        </w:rPr>
        <w:t>76</w:t>
      </w:r>
      <w:r>
        <w:rPr>
          <w:rFonts w:ascii="Arial" w:hAnsi="Arial" w:cs="Arial"/>
          <w:color w:val="000000" w:themeColor="text1"/>
        </w:rPr>
        <w:fldChar w:fldCharType="end"/>
      </w:r>
      <w:r>
        <w:rPr>
          <w:rFonts w:ascii="Arial" w:hAnsi="Arial" w:cs="Arial"/>
          <w:color w:val="000000" w:themeColor="text1"/>
        </w:rPr>
        <w:t xml:space="preserve"> této Smlouvy, přičemž </w:t>
      </w:r>
      <w:r>
        <w:rPr>
          <w:rFonts w:ascii="Arial" w:hAnsi="Arial" w:cs="Arial"/>
        </w:rPr>
        <w:t xml:space="preserve">však maximální množství práce je stanoveno v Dílčí smlouvě dle odst. </w:t>
      </w:r>
      <w:r>
        <w:rPr>
          <w:rFonts w:ascii="Arial" w:hAnsi="Arial" w:cs="Arial"/>
        </w:rPr>
        <w:fldChar w:fldCharType="begin"/>
      </w:r>
      <w:r>
        <w:rPr>
          <w:rFonts w:ascii="Arial" w:hAnsi="Arial" w:cs="Arial"/>
        </w:rPr>
        <w:instrText xml:space="preserve"> REF _Ref223319865 \r \h </w:instrText>
      </w:r>
      <w:r>
        <w:rPr>
          <w:rFonts w:ascii="Arial" w:hAnsi="Arial" w:cs="Arial"/>
        </w:rPr>
      </w:r>
      <w:r>
        <w:rPr>
          <w:rFonts w:ascii="Arial" w:hAnsi="Arial" w:cs="Arial"/>
        </w:rPr>
        <w:fldChar w:fldCharType="separate"/>
      </w:r>
      <w:r>
        <w:rPr>
          <w:rFonts w:ascii="Arial" w:hAnsi="Arial" w:cs="Arial"/>
        </w:rPr>
        <w:t>15</w:t>
      </w:r>
      <w:r>
        <w:rPr>
          <w:rFonts w:ascii="Arial" w:hAnsi="Arial" w:cs="Arial"/>
        </w:rPr>
        <w:fldChar w:fldCharType="end"/>
      </w:r>
      <w:r>
        <w:rPr>
          <w:rFonts w:ascii="Arial" w:hAnsi="Arial" w:cs="Arial"/>
        </w:rPr>
        <w:t xml:space="preserve"> této Smlouvy. Dodavatel nemá nárok na odměnu či jinou kompenzaci za práci, která překročí maximální množství práce stanovené v Dílčí smlouvě dle odst.</w:t>
      </w:r>
      <w:r>
        <w:rPr>
          <w:rFonts w:ascii="Arial" w:hAnsi="Arial" w:cs="Arial"/>
        </w:rPr>
        <w:fldChar w:fldCharType="begin"/>
      </w:r>
      <w:r>
        <w:rPr>
          <w:rFonts w:ascii="Arial" w:hAnsi="Arial" w:cs="Arial"/>
        </w:rPr>
        <w:instrText xml:space="preserve"> REF _Ref223319865 \r \h </w:instrText>
      </w:r>
      <w:r>
        <w:rPr>
          <w:rFonts w:ascii="Arial" w:hAnsi="Arial" w:cs="Arial"/>
        </w:rPr>
      </w:r>
      <w:r>
        <w:rPr>
          <w:rFonts w:ascii="Arial" w:hAnsi="Arial" w:cs="Arial"/>
        </w:rPr>
        <w:fldChar w:fldCharType="separate"/>
      </w:r>
      <w:r>
        <w:rPr>
          <w:rFonts w:ascii="Arial" w:hAnsi="Arial" w:cs="Arial"/>
        </w:rPr>
        <w:t>15</w:t>
      </w:r>
      <w:r>
        <w:rPr>
          <w:rFonts w:ascii="Arial" w:hAnsi="Arial" w:cs="Arial"/>
        </w:rPr>
        <w:fldChar w:fldCharType="end"/>
      </w:r>
      <w:r>
        <w:rPr>
          <w:rFonts w:ascii="Arial" w:hAnsi="Arial" w:cs="Arial"/>
        </w:rPr>
        <w:t xml:space="preserve"> této Smlouvy nebo která není v Dílčí smlouvě předpokládána či jinak uvedena. Odměna za vývoj Nových webových stránek bude účtována za každých započatých deset minut práce.</w:t>
      </w:r>
      <w:bookmarkEnd w:id="87"/>
    </w:p>
    <w:p>
      <w:pPr>
        <w:pStyle w:val="Odstavecseseznamem"/>
        <w:numPr>
          <w:ilvl w:val="1"/>
          <w:numId w:val="1"/>
        </w:numPr>
        <w:spacing w:before="240" w:after="240" w:line="276" w:lineRule="auto"/>
        <w:contextualSpacing w:val="0"/>
        <w:jc w:val="both"/>
        <w:rPr>
          <w:rFonts w:ascii="Arial" w:hAnsi="Arial" w:cs="Arial"/>
        </w:rPr>
      </w:pPr>
      <w:bookmarkStart w:id="88" w:name="_Ref223354915"/>
      <w:r>
        <w:rPr>
          <w:rFonts w:ascii="Arial" w:hAnsi="Arial" w:cs="Arial"/>
          <w:b/>
          <w:bCs/>
        </w:rPr>
        <w:t>Odměna za Část plnění Provoz</w:t>
      </w:r>
      <w:r>
        <w:rPr>
          <w:rFonts w:ascii="Arial" w:hAnsi="Arial" w:cs="Arial"/>
        </w:rPr>
        <w:t xml:space="preserve"> (dále jen „</w:t>
      </w:r>
      <w:r>
        <w:rPr>
          <w:rFonts w:ascii="Arial" w:hAnsi="Arial" w:cs="Arial"/>
          <w:b/>
          <w:bCs/>
        </w:rPr>
        <w:t>Odměna za Provoz</w:t>
      </w:r>
      <w:r>
        <w:rPr>
          <w:rFonts w:ascii="Arial" w:hAnsi="Arial" w:cs="Arial"/>
        </w:rPr>
        <w:t xml:space="preserve">“) činí </w:t>
      </w:r>
      <w:r>
        <w:rPr>
          <w:rFonts w:ascii="Arial" w:hAnsi="Arial" w:cs="Arial"/>
          <w:highlight w:val="cyan"/>
        </w:rPr>
        <w:t>[vyplní účastník]</w:t>
      </w:r>
      <w:r>
        <w:rPr>
          <w:rFonts w:ascii="Arial" w:hAnsi="Arial" w:cs="Arial"/>
        </w:rPr>
        <w:t xml:space="preserve"> </w:t>
      </w:r>
      <w:r>
        <w:rPr>
          <w:rFonts w:ascii="Arial" w:hAnsi="Arial" w:cs="Arial"/>
          <w:b/>
          <w:bCs/>
        </w:rPr>
        <w:t xml:space="preserve">Kč bez DPH </w:t>
      </w:r>
      <w:r>
        <w:rPr>
          <w:rFonts w:ascii="Arial" w:hAnsi="Arial" w:cs="Arial"/>
        </w:rPr>
        <w:t>za jeden kalendářní měsíc poskytování Části plnění Provoz</w:t>
      </w:r>
      <w:r>
        <w:rPr>
          <w:color w:val="000000"/>
          <w:highlight w:val="white"/>
        </w:rPr>
        <w:t xml:space="preserve">; </w:t>
      </w:r>
      <w:r>
        <w:rPr>
          <w:rFonts w:ascii="Arial" w:hAnsi="Arial" w:cs="Arial"/>
        </w:rPr>
        <w:t xml:space="preserve">netrvá-li tato Smlouva po celý kalendářní měsíc, Odměna za Servisní služby připadající na takový kalendářní měsíc se poměrně sníží. </w:t>
      </w:r>
      <w:bookmarkEnd w:id="88"/>
    </w:p>
    <w:p>
      <w:pPr>
        <w:pStyle w:val="Odstavecseseznamem"/>
        <w:numPr>
          <w:ilvl w:val="0"/>
          <w:numId w:val="1"/>
        </w:numPr>
        <w:spacing w:before="240" w:after="240" w:line="276" w:lineRule="auto"/>
        <w:contextualSpacing w:val="0"/>
        <w:jc w:val="both"/>
        <w:rPr>
          <w:rFonts w:ascii="Arial" w:hAnsi="Arial" w:cs="Arial"/>
        </w:rPr>
      </w:pPr>
      <w:bookmarkStart w:id="89" w:name="_Ref223349136"/>
      <w:r>
        <w:rPr>
          <w:rFonts w:ascii="Arial" w:hAnsi="Arial" w:cs="Arial"/>
        </w:rPr>
        <w:t xml:space="preserve">Odměna za Vývoj nepřesáhne </w:t>
      </w:r>
      <w:r>
        <w:rPr>
          <w:rFonts w:ascii="Arial" w:hAnsi="Arial" w:cs="Arial"/>
          <w:b/>
          <w:bCs/>
        </w:rPr>
        <w:t>200 000 Kč bez DPH</w:t>
      </w:r>
      <w:r>
        <w:rPr>
          <w:rFonts w:ascii="Arial" w:hAnsi="Arial" w:cs="Arial"/>
        </w:rPr>
        <w:t xml:space="preserve"> (dále jen „</w:t>
      </w:r>
      <w:r>
        <w:rPr>
          <w:rFonts w:ascii="Arial" w:hAnsi="Arial" w:cs="Arial"/>
          <w:b/>
        </w:rPr>
        <w:t>Maximální odměna za vývoj</w:t>
      </w:r>
      <w:r>
        <w:rPr>
          <w:rFonts w:ascii="Arial" w:hAnsi="Arial" w:cs="Arial"/>
        </w:rPr>
        <w:t>“), není-li dále stanoveno jinak. Mělo-li by plněním jakékoli Dílčí smlouvy dle odst. </w:t>
      </w:r>
      <w:r>
        <w:rPr>
          <w:rFonts w:ascii="Arial" w:hAnsi="Arial" w:cs="Arial"/>
        </w:rPr>
        <w:fldChar w:fldCharType="begin"/>
      </w:r>
      <w:r>
        <w:rPr>
          <w:rFonts w:ascii="Arial" w:hAnsi="Arial" w:cs="Arial"/>
        </w:rPr>
        <w:instrText xml:space="preserve"> REF _Ref223319865 \r \h </w:instrText>
      </w:r>
      <w:r>
        <w:rPr>
          <w:rFonts w:ascii="Arial" w:hAnsi="Arial" w:cs="Arial"/>
        </w:rPr>
      </w:r>
      <w:r>
        <w:rPr>
          <w:rFonts w:ascii="Arial" w:hAnsi="Arial" w:cs="Arial"/>
        </w:rPr>
        <w:fldChar w:fldCharType="separate"/>
      </w:r>
      <w:r>
        <w:rPr>
          <w:rFonts w:ascii="Arial" w:hAnsi="Arial" w:cs="Arial"/>
        </w:rPr>
        <w:t>15</w:t>
      </w:r>
      <w:r>
        <w:rPr>
          <w:rFonts w:ascii="Arial" w:hAnsi="Arial" w:cs="Arial"/>
        </w:rPr>
        <w:fldChar w:fldCharType="end"/>
      </w:r>
      <w:r>
        <w:rPr>
          <w:rFonts w:ascii="Arial" w:hAnsi="Arial" w:cs="Arial"/>
        </w:rPr>
        <w:t xml:space="preserve"> této Smlouvy nebo jejich souhrnem dojít k překročení Maximální odměny za Vývoj, je Dodavatel povinen takové plnění bezodkladně přerušit a tuto skutečnost písemně oznámit Objednateli. Dodavatel nemá nárok na odměnu ani na jakoukoli jinou kompenzaci za plnění, v jehož důsledku došlo k překročení Maximální odměny za Vývoj.</w:t>
      </w:r>
      <w:bookmarkEnd w:id="89"/>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Maximální odměnu za Vývoj je možné překročit pouze v souvislosti se změnou daňových předpisů upravujících výši DPH, přičemž v takovém případě bude k dosud nesplacené části Ceny připočtena DPH ve výši stanovené právními předpisy platnými a účinnými v době její úhrady. V takovém případě se postup dle odst. </w:t>
      </w:r>
      <w:r>
        <w:rPr>
          <w:rFonts w:ascii="Arial" w:hAnsi="Arial" w:cs="Arial"/>
        </w:rPr>
        <w:fldChar w:fldCharType="begin"/>
      </w:r>
      <w:r>
        <w:rPr>
          <w:rFonts w:ascii="Arial" w:hAnsi="Arial" w:cs="Arial"/>
        </w:rPr>
        <w:instrText xml:space="preserve"> REF _Ref223349136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r>
        <w:rPr>
          <w:rFonts w:ascii="Arial" w:hAnsi="Arial" w:cs="Arial"/>
        </w:rPr>
        <w:t xml:space="preserve"> této Smlouvy nepoužije. </w:t>
      </w:r>
    </w:p>
    <w:p>
      <w:pPr>
        <w:pStyle w:val="Odstavecseseznamem"/>
        <w:numPr>
          <w:ilvl w:val="0"/>
          <w:numId w:val="1"/>
        </w:numPr>
        <w:spacing w:before="240" w:after="240" w:line="276" w:lineRule="auto"/>
        <w:contextualSpacing w:val="0"/>
        <w:jc w:val="both"/>
        <w:rPr>
          <w:rFonts w:ascii="Arial" w:hAnsi="Arial" w:cs="Arial"/>
        </w:rPr>
      </w:pPr>
      <w:bookmarkStart w:id="90" w:name="_Ref223348984"/>
      <w:r>
        <w:rPr>
          <w:rFonts w:ascii="Arial" w:hAnsi="Arial" w:cs="Arial"/>
        </w:rPr>
        <w:t xml:space="preserve">Dojde-li k překročení maximálního rozsahu Podpory dle odst. </w:t>
      </w:r>
      <w:r>
        <w:rPr>
          <w:rFonts w:ascii="Arial" w:hAnsi="Arial" w:cs="Arial"/>
        </w:rPr>
        <w:fldChar w:fldCharType="begin"/>
      </w:r>
      <w:r>
        <w:rPr>
          <w:rFonts w:ascii="Arial" w:hAnsi="Arial" w:cs="Arial"/>
        </w:rPr>
        <w:instrText xml:space="preserve"> REF _Ref223332297 \r \h </w:instrText>
      </w:r>
      <w:r>
        <w:rPr>
          <w:rFonts w:ascii="Arial" w:hAnsi="Arial" w:cs="Arial"/>
        </w:rPr>
      </w:r>
      <w:r>
        <w:rPr>
          <w:rFonts w:ascii="Arial" w:hAnsi="Arial" w:cs="Arial"/>
        </w:rPr>
        <w:fldChar w:fldCharType="separate"/>
      </w:r>
      <w:r>
        <w:rPr>
          <w:rFonts w:ascii="Arial" w:hAnsi="Arial" w:cs="Arial"/>
        </w:rPr>
        <w:t>36</w:t>
      </w:r>
      <w:r>
        <w:rPr>
          <w:rFonts w:ascii="Arial" w:hAnsi="Arial" w:cs="Arial"/>
        </w:rPr>
        <w:fldChar w:fldCharType="end"/>
      </w:r>
      <w:r>
        <w:rPr>
          <w:rFonts w:ascii="Arial" w:hAnsi="Arial" w:cs="Arial"/>
        </w:rPr>
        <w:t xml:space="preserve"> této Smlouvy a za podmínek tam stanovených, náleží Dodavateli dodatečná odměna za Podporu poskytnutou nad rámec tohoto maximálního rozsahu, která bude stanovena jako součin sazby za </w:t>
      </w:r>
      <w:proofErr w:type="spellStart"/>
      <w:r>
        <w:rPr>
          <w:rFonts w:ascii="Arial" w:hAnsi="Arial" w:cs="Arial"/>
        </w:rPr>
        <w:t>člověko</w:t>
      </w:r>
      <w:proofErr w:type="spellEnd"/>
      <w:r>
        <w:rPr>
          <w:rFonts w:ascii="Arial" w:hAnsi="Arial" w:cs="Arial"/>
        </w:rPr>
        <w:t>-hodinu a vykázaného množství práce příslušných pracovníků Dodavatele (dále jen „</w:t>
      </w:r>
      <w:r>
        <w:rPr>
          <w:rFonts w:ascii="Arial" w:hAnsi="Arial" w:cs="Arial"/>
          <w:b/>
        </w:rPr>
        <w:t>Dodatečná odměna za Podporu</w:t>
      </w:r>
      <w:r>
        <w:rPr>
          <w:rFonts w:ascii="Arial" w:hAnsi="Arial" w:cs="Arial"/>
        </w:rPr>
        <w:t xml:space="preserve">“). Sazba za jednu </w:t>
      </w:r>
      <w:proofErr w:type="spellStart"/>
      <w:r>
        <w:rPr>
          <w:rFonts w:ascii="Arial" w:hAnsi="Arial" w:cs="Arial"/>
        </w:rPr>
        <w:t>člověko</w:t>
      </w:r>
      <w:proofErr w:type="spellEnd"/>
      <w:r>
        <w:rPr>
          <w:rFonts w:ascii="Arial" w:hAnsi="Arial" w:cs="Arial"/>
        </w:rPr>
        <w:t xml:space="preserve">-hodinu je shodná se sazbou stanovenou v odst. </w:t>
      </w:r>
      <w:r>
        <w:rPr>
          <w:rFonts w:ascii="Arial" w:hAnsi="Arial" w:cs="Arial"/>
        </w:rPr>
        <w:fldChar w:fldCharType="begin"/>
      </w:r>
      <w:r>
        <w:rPr>
          <w:rFonts w:ascii="Arial" w:hAnsi="Arial" w:cs="Arial"/>
        </w:rPr>
        <w:instrText xml:space="preserve"> REF _Ref223332396 \r \h </w:instrText>
      </w:r>
      <w:r>
        <w:rPr>
          <w:rFonts w:ascii="Arial" w:hAnsi="Arial" w:cs="Arial"/>
        </w:rPr>
      </w:r>
      <w:r>
        <w:rPr>
          <w:rFonts w:ascii="Arial" w:hAnsi="Arial" w:cs="Arial"/>
        </w:rPr>
        <w:fldChar w:fldCharType="separate"/>
      </w:r>
      <w:r>
        <w:rPr>
          <w:rFonts w:ascii="Arial" w:hAnsi="Arial" w:cs="Arial"/>
        </w:rPr>
        <w:t>65.2</w:t>
      </w:r>
      <w:r>
        <w:rPr>
          <w:rFonts w:ascii="Arial" w:hAnsi="Arial" w:cs="Arial"/>
        </w:rPr>
        <w:fldChar w:fldCharType="end"/>
      </w:r>
      <w:r>
        <w:rPr>
          <w:rFonts w:ascii="Arial" w:hAnsi="Arial" w:cs="Arial"/>
        </w:rPr>
        <w:t xml:space="preserve"> této Smlouvy. Pro stanovení vykázaného množství práce příslušných pracovníků Dodavatele se použije postup dle odst. </w:t>
      </w:r>
      <w:r>
        <w:rPr>
          <w:rFonts w:ascii="Arial" w:hAnsi="Arial" w:cs="Arial"/>
        </w:rPr>
        <w:fldChar w:fldCharType="begin"/>
      </w:r>
      <w:r>
        <w:rPr>
          <w:rFonts w:ascii="Arial" w:hAnsi="Arial" w:cs="Arial"/>
        </w:rPr>
        <w:instrText xml:space="preserve"> REF _Ref223349308 \r \h </w:instrText>
      </w:r>
      <w:r>
        <w:rPr>
          <w:rFonts w:ascii="Arial" w:hAnsi="Arial" w:cs="Arial"/>
        </w:rPr>
      </w:r>
      <w:r>
        <w:rPr>
          <w:rFonts w:ascii="Arial" w:hAnsi="Arial" w:cs="Arial"/>
        </w:rPr>
        <w:fldChar w:fldCharType="separate"/>
      </w:r>
      <w:r>
        <w:rPr>
          <w:rFonts w:ascii="Arial" w:hAnsi="Arial" w:cs="Arial"/>
        </w:rPr>
        <w:t>76</w:t>
      </w:r>
      <w:r>
        <w:rPr>
          <w:rFonts w:ascii="Arial" w:hAnsi="Arial" w:cs="Arial"/>
        </w:rPr>
        <w:fldChar w:fldCharType="end"/>
      </w:r>
      <w:r>
        <w:rPr>
          <w:rFonts w:ascii="Arial" w:hAnsi="Arial" w:cs="Arial"/>
        </w:rPr>
        <w:t xml:space="preserve"> této Smlouvy. Dodatečná odměna za Podporu bude účtována za každých započatých deset minut práce.</w:t>
      </w:r>
      <w:bookmarkEnd w:id="90"/>
      <w:r>
        <w:rPr>
          <w:rFonts w:ascii="Arial" w:hAnsi="Arial" w:cs="Arial"/>
        </w:rPr>
        <w:t xml:space="preserve"> </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Všechny odměny dle tohoto článku budou Objednatelem uhrazeny v korunách českých (CZK) postupně na základě daňového dokladu (dále jen „</w:t>
      </w:r>
      <w:r>
        <w:rPr>
          <w:rFonts w:ascii="Arial" w:hAnsi="Arial" w:cs="Arial"/>
          <w:b/>
          <w:bCs/>
        </w:rPr>
        <w:t>faktura</w:t>
      </w:r>
      <w:r>
        <w:rPr>
          <w:rFonts w:ascii="Arial" w:hAnsi="Arial" w:cs="Arial"/>
        </w:rPr>
        <w:t>") doručeného Dodavatelem Objednateli na bankovní účet Dodavatele uvedený v identifikaci Smluvních stran. Tento bankovní účet musí být účtem vedeným Dodavatelem platebních služeb na území České republiky a musí být dle § 98 zákona č. 235/2004 Sb., o dani z přidané hodnoty, ve znění pozdějších předpisů (dále jen „</w:t>
      </w:r>
      <w:proofErr w:type="spellStart"/>
      <w:r>
        <w:rPr>
          <w:rFonts w:ascii="Arial" w:hAnsi="Arial" w:cs="Arial"/>
          <w:b/>
          <w:bCs/>
        </w:rPr>
        <w:t>ZoDPH</w:t>
      </w:r>
      <w:proofErr w:type="spellEnd"/>
      <w:r>
        <w:rPr>
          <w:rFonts w:ascii="Arial" w:hAnsi="Arial" w:cs="Arial"/>
        </w:rPr>
        <w:t>“), správcem daně zveřejněn jako údaj z registru plátců, a to způsobem umožňujícím dálkový přístup. Dodavatel je touto Smlouvou zavázán ke zveřejnění výše uvedeného účtu výše uvedeným způsobem nejméně do okamžiku úhrady poslední části peněžního závazku Objednatele vůči Dodavateli vyplývajícího z této Smlouvy.</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lastRenderedPageBreak/>
        <w:t xml:space="preserve">Všechny faktury vystavené Dodavatelem, který je plátcem DPH, musí splňovat náležitosti daňového dokladu dle </w:t>
      </w:r>
      <w:proofErr w:type="spellStart"/>
      <w:r>
        <w:rPr>
          <w:rFonts w:ascii="Arial" w:hAnsi="Arial" w:cs="Arial"/>
        </w:rPr>
        <w:t>ZoDPH</w:t>
      </w:r>
      <w:proofErr w:type="spellEnd"/>
      <w:r>
        <w:rPr>
          <w:rFonts w:ascii="Arial" w:hAnsi="Arial" w:cs="Arial"/>
        </w:rPr>
        <w:t xml:space="preserve">. Faktura musí zároveň vždy obsahovat všechny náležitosti podle účinných právních předpisů, a to zejména náležitosti dle zákona č. 563/1991 Sb., o účetnictví, ve znění pozdějších předpisů, a náležitosti stanovené v § 435 </w:t>
      </w:r>
      <w:proofErr w:type="spellStart"/>
      <w:r>
        <w:rPr>
          <w:rFonts w:ascii="Arial" w:hAnsi="Arial" w:cs="Arial"/>
        </w:rPr>
        <w:t>ObčZ</w:t>
      </w:r>
      <w:proofErr w:type="spellEnd"/>
      <w:r>
        <w:rPr>
          <w:rFonts w:ascii="Arial" w:hAnsi="Arial" w:cs="Arial"/>
        </w:rPr>
        <w:t>. Předchozí věta se uplatní u plátců i neplátců DPH. Na faktuře bude dále uvedeno číslo smlouvy Objednatele.</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V případě, že faktura bude obsahovat věcné či formální nesprávnosti, popřípadě nebude obsahovat všechny zákonné náležitosti nebo náležitosti ujednané v této Smlouvě či přílohy této Smlouvy, je Objednatel oprávněn ji vrátit ve lhůtě splatnosti zpět Dodavateli k doplnění či opravě, aniž se tak dostane do prodlení se splatností. Lhůta splatnosti počíná běžet znovu od opětovného doručení řádně doplněné či opravené faktury Objednateli.</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Dodavatel vystaví Objednateli </w:t>
      </w:r>
      <w:r>
        <w:rPr>
          <w:rFonts w:ascii="Arial" w:hAnsi="Arial" w:cs="Arial"/>
          <w:b/>
          <w:bCs/>
        </w:rPr>
        <w:t>faktury na Odměnu za Dodávku</w:t>
      </w:r>
      <w:r>
        <w:rPr>
          <w:rFonts w:ascii="Arial" w:hAnsi="Arial" w:cs="Arial"/>
        </w:rPr>
        <w:t xml:space="preserve"> vždy na základě oboustranně podepsaného předávacího protokolu bez Podstatných vad pro jednotlivé Výstupy Části plnění Dodávka. Faktura bude Objednateli doručena do deseti dnů ode dne předání a převzetí příslušného Výstupu. </w:t>
      </w:r>
    </w:p>
    <w:p>
      <w:pPr>
        <w:pStyle w:val="Odstavecseseznamem"/>
        <w:numPr>
          <w:ilvl w:val="0"/>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 xml:space="preserve">Dodavatel vystaví Objednateli </w:t>
      </w:r>
      <w:r>
        <w:rPr>
          <w:rFonts w:ascii="Arial" w:hAnsi="Arial" w:cs="Arial"/>
          <w:b/>
          <w:bCs/>
          <w:color w:val="000000" w:themeColor="text1"/>
        </w:rPr>
        <w:t>fakturu na Odměnu za Vývoj</w:t>
      </w:r>
      <w:r>
        <w:rPr>
          <w:rFonts w:ascii="Arial" w:hAnsi="Arial" w:cs="Arial"/>
          <w:color w:val="000000" w:themeColor="text1"/>
        </w:rPr>
        <w:t xml:space="preserve"> a doručí ji Objednateli poté, co:</w:t>
      </w:r>
    </w:p>
    <w:p>
      <w:pPr>
        <w:pStyle w:val="Odstavecseseznamem"/>
        <w:numPr>
          <w:ilvl w:val="1"/>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 xml:space="preserve">uplyne lhůta k vyjádření nesouhlasu s Výkazem prací za Vývoj ze strany Objednatel ve smyslu odst. </w:t>
      </w:r>
      <w:r>
        <w:rPr>
          <w:rFonts w:ascii="Arial" w:hAnsi="Arial" w:cs="Arial"/>
          <w:color w:val="000000" w:themeColor="text1"/>
        </w:rPr>
        <w:fldChar w:fldCharType="begin"/>
      </w:r>
      <w:r>
        <w:rPr>
          <w:rFonts w:ascii="Arial" w:hAnsi="Arial" w:cs="Arial"/>
          <w:color w:val="000000" w:themeColor="text1"/>
        </w:rPr>
        <w:instrText xml:space="preserve"> REF _Ref223333413 \r \h </w:instrText>
      </w:r>
      <w:r>
        <w:rPr>
          <w:rFonts w:ascii="Arial" w:hAnsi="Arial" w:cs="Arial"/>
          <w:color w:val="000000" w:themeColor="text1"/>
        </w:rPr>
      </w:r>
      <w:r>
        <w:rPr>
          <w:rFonts w:ascii="Arial" w:hAnsi="Arial" w:cs="Arial"/>
          <w:color w:val="000000" w:themeColor="text1"/>
        </w:rPr>
        <w:fldChar w:fldCharType="separate"/>
      </w:r>
      <w:r>
        <w:rPr>
          <w:rFonts w:ascii="Arial" w:hAnsi="Arial" w:cs="Arial"/>
          <w:color w:val="000000" w:themeColor="text1"/>
        </w:rPr>
        <w:t>77</w:t>
      </w:r>
      <w:r>
        <w:rPr>
          <w:rFonts w:ascii="Arial" w:hAnsi="Arial" w:cs="Arial"/>
          <w:color w:val="000000" w:themeColor="text1"/>
        </w:rPr>
        <w:fldChar w:fldCharType="end"/>
      </w:r>
      <w:r>
        <w:rPr>
          <w:rFonts w:ascii="Arial" w:hAnsi="Arial" w:cs="Arial"/>
          <w:color w:val="000000" w:themeColor="text1"/>
        </w:rPr>
        <w:t xml:space="preserve"> této Smlouvy a Objednatel v této lhůtě Dodavateli neoznámí svůj nesouhlas; nebo</w:t>
      </w:r>
    </w:p>
    <w:p>
      <w:pPr>
        <w:pStyle w:val="Odstavecseseznamem"/>
        <w:numPr>
          <w:ilvl w:val="1"/>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dojde mezi Stranami k odstranění rozporů ohledně Výkazu prací za Vývoj, nebo</w:t>
      </w:r>
    </w:p>
    <w:p>
      <w:pPr>
        <w:pStyle w:val="Odstavecseseznamem"/>
        <w:numPr>
          <w:ilvl w:val="1"/>
          <w:numId w:val="1"/>
        </w:numPr>
        <w:spacing w:before="240" w:after="240" w:line="276" w:lineRule="auto"/>
        <w:contextualSpacing w:val="0"/>
        <w:jc w:val="both"/>
        <w:rPr>
          <w:rFonts w:ascii="Arial" w:hAnsi="Arial" w:cs="Arial"/>
          <w:color w:val="000000" w:themeColor="text1"/>
        </w:rPr>
      </w:pPr>
      <w:r>
        <w:rPr>
          <w:rFonts w:ascii="Arial" w:hAnsi="Arial" w:cs="Arial"/>
          <w:color w:val="000000" w:themeColor="text1"/>
        </w:rPr>
        <w:t xml:space="preserve">marně uplyne lhůta stanovená pro jednání o odstranění rozporů ohledně Výkazu prací ve smyslu odst. odst. </w:t>
      </w:r>
      <w:r>
        <w:rPr>
          <w:rFonts w:ascii="Arial" w:hAnsi="Arial" w:cs="Arial"/>
          <w:color w:val="000000" w:themeColor="text1"/>
        </w:rPr>
        <w:fldChar w:fldCharType="begin"/>
      </w:r>
      <w:r>
        <w:rPr>
          <w:rFonts w:ascii="Arial" w:hAnsi="Arial" w:cs="Arial"/>
          <w:color w:val="000000" w:themeColor="text1"/>
        </w:rPr>
        <w:instrText xml:space="preserve"> REF _Ref223333413 \r \h </w:instrText>
      </w:r>
      <w:r>
        <w:rPr>
          <w:rFonts w:ascii="Arial" w:hAnsi="Arial" w:cs="Arial"/>
          <w:color w:val="000000" w:themeColor="text1"/>
        </w:rPr>
      </w:r>
      <w:r>
        <w:rPr>
          <w:rFonts w:ascii="Arial" w:hAnsi="Arial" w:cs="Arial"/>
          <w:color w:val="000000" w:themeColor="text1"/>
        </w:rPr>
        <w:fldChar w:fldCharType="separate"/>
      </w:r>
      <w:r>
        <w:rPr>
          <w:rFonts w:ascii="Arial" w:hAnsi="Arial" w:cs="Arial"/>
          <w:color w:val="000000" w:themeColor="text1"/>
        </w:rPr>
        <w:t>77</w:t>
      </w:r>
      <w:r>
        <w:rPr>
          <w:rFonts w:ascii="Arial" w:hAnsi="Arial" w:cs="Arial"/>
          <w:color w:val="000000" w:themeColor="text1"/>
        </w:rPr>
        <w:fldChar w:fldCharType="end"/>
      </w:r>
      <w:r>
        <w:rPr>
          <w:rFonts w:ascii="Arial" w:hAnsi="Arial" w:cs="Arial"/>
          <w:color w:val="000000" w:themeColor="text1"/>
        </w:rPr>
        <w:t xml:space="preserve"> této Smlouvy.</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Dodavatel vystaví Objednateli fakturu na </w:t>
      </w:r>
      <w:r>
        <w:rPr>
          <w:rFonts w:ascii="Arial" w:hAnsi="Arial" w:cs="Arial"/>
          <w:b/>
          <w:bCs/>
        </w:rPr>
        <w:t>Odměnu za Provoz</w:t>
      </w:r>
      <w:r>
        <w:rPr>
          <w:rFonts w:ascii="Arial" w:hAnsi="Arial" w:cs="Arial"/>
        </w:rPr>
        <w:t xml:space="preserve"> a doručí ji Objednateli po skončení kalendářního měsíce, v němž byly činnosti z části plnění Provoz poskytovány.</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Je-li v této Smlouvě stanovena odměna Dodavatele ve formě rozpočtu nebo odkazem na něj, zejm. ve formě maximálního množství práce/času v rámci Dílčí smlouvy dle odst. </w:t>
      </w:r>
      <w:r>
        <w:rPr>
          <w:rFonts w:ascii="Arial" w:hAnsi="Arial" w:cs="Arial"/>
        </w:rPr>
        <w:fldChar w:fldCharType="begin"/>
      </w:r>
      <w:r>
        <w:rPr>
          <w:rFonts w:ascii="Arial" w:hAnsi="Arial" w:cs="Arial"/>
        </w:rPr>
        <w:instrText xml:space="preserve"> REF _Ref223319865 \r \h </w:instrText>
      </w:r>
      <w:r>
        <w:rPr>
          <w:rFonts w:ascii="Arial" w:hAnsi="Arial" w:cs="Arial"/>
        </w:rPr>
      </w:r>
      <w:r>
        <w:rPr>
          <w:rFonts w:ascii="Arial" w:hAnsi="Arial" w:cs="Arial"/>
        </w:rPr>
        <w:fldChar w:fldCharType="separate"/>
      </w:r>
      <w:r>
        <w:rPr>
          <w:rFonts w:ascii="Arial" w:hAnsi="Arial" w:cs="Arial"/>
        </w:rPr>
        <w:t>15</w:t>
      </w:r>
      <w:r>
        <w:rPr>
          <w:rFonts w:ascii="Arial" w:hAnsi="Arial" w:cs="Arial"/>
        </w:rPr>
        <w:fldChar w:fldCharType="end"/>
      </w:r>
      <w:r>
        <w:rPr>
          <w:rFonts w:ascii="Arial" w:hAnsi="Arial" w:cs="Arial"/>
        </w:rPr>
        <w:t xml:space="preserve"> této Smlouvy, zaručuje Dodavatel jeho úplnost a závaznost ve smyslu § 2622 občanského zákoníku.</w:t>
      </w:r>
    </w:p>
    <w:p>
      <w:pPr>
        <w:pStyle w:val="Odstavecseseznamem"/>
        <w:numPr>
          <w:ilvl w:val="0"/>
          <w:numId w:val="1"/>
        </w:numPr>
        <w:spacing w:before="240" w:after="240" w:line="276" w:lineRule="auto"/>
        <w:contextualSpacing w:val="0"/>
        <w:jc w:val="both"/>
        <w:rPr>
          <w:rFonts w:ascii="Arial" w:hAnsi="Arial" w:cs="Arial"/>
        </w:rPr>
      </w:pPr>
      <w:bookmarkStart w:id="91" w:name="_Ref223349308"/>
      <w:r>
        <w:rPr>
          <w:rFonts w:ascii="Arial" w:hAnsi="Arial" w:cs="Arial"/>
        </w:rPr>
        <w:t>Dodavatel se zavazuje vést úplnou a pravdivou evidenci činnosti svých pracovníků, kteří se podílejí na části plnění Vývoj. Dodavatel předá Objednateli informaci o množství práce příslušných pracovníků Dodavatele, a to tak, že nejpozději do 5. dne kalendářního měsíce zašle Objednateli informaci o čase stráveném prací v předcházejícím kalendářním měsíci v rámci části plnění Vývoj (dále jen „</w:t>
      </w:r>
      <w:r>
        <w:rPr>
          <w:rFonts w:ascii="Arial" w:hAnsi="Arial" w:cs="Arial"/>
          <w:b/>
        </w:rPr>
        <w:t>Výkaz prací</w:t>
      </w:r>
      <w:r>
        <w:rPr>
          <w:rFonts w:ascii="Arial" w:hAnsi="Arial" w:cs="Arial"/>
        </w:rPr>
        <w:t>“).</w:t>
      </w:r>
      <w:bookmarkEnd w:id="91"/>
    </w:p>
    <w:p>
      <w:pPr>
        <w:pStyle w:val="Odstavecseseznamem"/>
        <w:numPr>
          <w:ilvl w:val="0"/>
          <w:numId w:val="1"/>
        </w:numPr>
        <w:spacing w:before="240" w:after="240" w:line="276" w:lineRule="auto"/>
        <w:contextualSpacing w:val="0"/>
        <w:jc w:val="both"/>
        <w:rPr>
          <w:rFonts w:ascii="Arial" w:hAnsi="Arial" w:cs="Arial"/>
        </w:rPr>
      </w:pPr>
      <w:bookmarkStart w:id="92" w:name="_Ref223333413"/>
      <w:r>
        <w:rPr>
          <w:rFonts w:ascii="Arial" w:hAnsi="Arial" w:cs="Arial"/>
        </w:rPr>
        <w:t>Nesouhlasí-li Objednatel s Výkazem prací, oznámí to nejpozději do 5 pracovních dní od obdržení příslušného výkazu prací Dodavateli a Strany spolu neprodleně zahájí jednání o odstranění rozporů. Jednání o odstranění rozporů nepřekročí 30 dní od doručení nesouhlasu Objednatele Dodavateli.</w:t>
      </w:r>
      <w:bookmarkEnd w:id="92"/>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lastRenderedPageBreak/>
        <w:t xml:space="preserve">Faktury dle této Smlouvy bude Dodavatel doručovat na e-mailovou adresu </w:t>
      </w:r>
      <w:hyperlink r:id="rId8" w:history="1">
        <w:r>
          <w:rPr>
            <w:rStyle w:val="Hypertextovodkaz"/>
            <w:rFonts w:ascii="Arial" w:hAnsi="Arial" w:cs="Arial"/>
          </w:rPr>
          <w:t>faktury@zdarns.cz</w:t>
        </w:r>
      </w:hyperlink>
      <w:r>
        <w:rPr>
          <w:rStyle w:val="Hypertextovodkaz"/>
          <w:rFonts w:ascii="Arial" w:hAnsi="Arial" w:cs="Arial"/>
        </w:rPr>
        <w:t xml:space="preserve"> ve formátu ISDOC nebo ISDOCX</w:t>
      </w:r>
      <w:r>
        <w:rPr>
          <w:rFonts w:ascii="Arial" w:hAnsi="Arial" w:cs="Arial"/>
        </w:rPr>
        <w:t>.</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Každá faktura předložená Objednateli nesmí mít splatnost kratší 30 dnů ode dne jejího prokazatelného doručení Objednateli na e-mailovou adresu </w:t>
      </w:r>
      <w:hyperlink r:id="rId9" w:history="1">
        <w:r>
          <w:rPr>
            <w:rStyle w:val="Hypertextovodkaz"/>
            <w:rFonts w:ascii="Arial" w:hAnsi="Arial" w:cs="Arial"/>
          </w:rPr>
          <w:t>faktury@zdarns.cz</w:t>
        </w:r>
      </w:hyperlink>
      <w:r>
        <w:rPr>
          <w:rStyle w:val="Hypertextovodkaz"/>
          <w:rFonts w:ascii="Arial" w:hAnsi="Arial" w:cs="Arial"/>
        </w:rPr>
        <w:t xml:space="preserve"> ve formátu ISDOC nebo ISDOCX</w:t>
      </w:r>
      <w:r>
        <w:rPr>
          <w:rFonts w:ascii="Arial" w:hAnsi="Arial" w:cs="Arial"/>
        </w:rPr>
        <w:t>.</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Objednatel je oprávněn fakturu vrátit Dodavateli bez zaplacení, jestliže faktura nebude obsahovat náležitosti stanovené touto Smlouvou. Dodavatel je povinen podle povahy nesprávnosti fakturu opravit nebo fakturu nově vyhotovit. V takovém případě není Objednatel v prodlení se zaplacením plnění, kterého se příslušná faktura týká. Okamžikem doručení náležitě doplněné či opravené faktury Objednateli začne běžet nová lhůta splatnosti.</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Dodavatel odpovídá za to, že sazba daně z přidané hodnoty z příslušných úplat za jednotlivá plnění jeho závazků z této Smlouvy je stanovena v souladu s právním řádem. Pokud dojde v průběhu plnění této Smlouvy ke změně zákonné sazby DPH stanovené pro plnění předmětu této Smlouvy, bude tato sazba promítnuta do všech cen uvedených v této Smlouvě s DPH a Dodavatel je od okamžiku nabytí účinnosti změny zákonné sazby DPH povinen účtovat platnou sazbu DPH. O této skutečnosti není nutné uzavírat dodatek k této Smlouvě. </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Objednatel neposkytuje Dodavateli zálohy na Odměnu ani její části.</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Smluvní strany se výslovně dohodly, že Objednatel je oprávněn započíst své i nesplatné pohledávky vzniklé na základě této Smlouvy proti pohledávce Dodavatele na zaplacení Ceny rovněž bez ohledu na její splatnost.</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Dodavatel se zavazuje, že v případě nabytí statutu „nespolehlivý plátce" ve smyslu </w:t>
      </w:r>
      <w:proofErr w:type="spellStart"/>
      <w:r>
        <w:rPr>
          <w:rFonts w:ascii="Arial" w:hAnsi="Arial" w:cs="Arial"/>
        </w:rPr>
        <w:t>ZoDPH</w:t>
      </w:r>
      <w:proofErr w:type="spellEnd"/>
      <w:r>
        <w:rPr>
          <w:rFonts w:ascii="Arial" w:hAnsi="Arial" w:cs="Arial"/>
        </w:rPr>
        <w:t xml:space="preserve">, bude o této skutečnosti neprodleně Objednatele informovat. Objednatel je poté oprávněn zaslat část Ceny odpovídající dani z přidané hodnoty přímo na účet správce daně Dodavatele v režimu podle § 109a </w:t>
      </w:r>
      <w:proofErr w:type="spellStart"/>
      <w:r>
        <w:rPr>
          <w:rFonts w:ascii="Arial" w:hAnsi="Arial" w:cs="Arial"/>
        </w:rPr>
        <w:t>ZoDPH</w:t>
      </w:r>
      <w:proofErr w:type="spellEnd"/>
      <w:r>
        <w:rPr>
          <w:rFonts w:ascii="Arial" w:hAnsi="Arial" w:cs="Arial"/>
        </w:rPr>
        <w:t>.</w:t>
      </w:r>
    </w:p>
    <w:p>
      <w:pPr>
        <w:pStyle w:val="Odstavecseseznamem"/>
        <w:keepNext/>
        <w:numPr>
          <w:ilvl w:val="0"/>
          <w:numId w:val="2"/>
        </w:numPr>
        <w:spacing w:before="240" w:after="240" w:line="276" w:lineRule="auto"/>
        <w:ind w:left="1276" w:hanging="357"/>
        <w:contextualSpacing w:val="0"/>
        <w:jc w:val="center"/>
        <w:rPr>
          <w:rFonts w:ascii="Arial" w:hAnsi="Arial" w:cs="Arial"/>
          <w:b/>
          <w:bCs/>
        </w:rPr>
      </w:pPr>
      <w:bookmarkStart w:id="93" w:name="__RefHeading___Toc626_293221212"/>
      <w:bookmarkStart w:id="94" w:name="__RefHeading___Toc628_293221212"/>
      <w:bookmarkStart w:id="95" w:name="_Ref223553916"/>
      <w:bookmarkStart w:id="96" w:name="_Ref165474976"/>
      <w:bookmarkStart w:id="97" w:name="_Toc73341516"/>
      <w:bookmarkEnd w:id="93"/>
      <w:bookmarkEnd w:id="94"/>
      <w:r>
        <w:rPr>
          <w:rFonts w:ascii="Arial" w:hAnsi="Arial" w:cs="Arial"/>
          <w:b/>
          <w:bCs/>
        </w:rPr>
        <w:t>PŘEDÁNÍ ZDROJOVÉHO KÓDU</w:t>
      </w:r>
      <w:bookmarkEnd w:id="95"/>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Dodavatel se zavazuje předat společně s dílem nebo jiným výstupem své činnosti dle této Smlouvy Objednateli zdrojový kód (je-li výstupem plnění činnosti Dodavatele počítačový program), dokumentaci ke svému výstupu a veškeré externí komponenty (např. externí knihovny) nezbytné nebo vhodné pro úplný a řádný provoz Nových webových stránek, které souvisejí s předávaným dílem nebo jiným výstupem činnosti Dodavatele.</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Dodavatel není povinen předat Objednateli zdrojový kód ke Standardizovanému dílu ve smyslu </w:t>
      </w:r>
      <w:proofErr w:type="spellStart"/>
      <w:r>
        <w:rPr>
          <w:rFonts w:ascii="Arial" w:hAnsi="Arial" w:cs="Arial"/>
        </w:rPr>
        <w:t>poodst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_Ref223350153 \r \h </w:instrText>
      </w:r>
      <w:r>
        <w:rPr>
          <w:rFonts w:ascii="Arial" w:hAnsi="Arial" w:cs="Arial"/>
        </w:rPr>
      </w:r>
      <w:r>
        <w:rPr>
          <w:rFonts w:ascii="Arial" w:hAnsi="Arial" w:cs="Arial"/>
        </w:rPr>
        <w:fldChar w:fldCharType="separate"/>
      </w:r>
      <w:r>
        <w:rPr>
          <w:rFonts w:ascii="Arial" w:hAnsi="Arial" w:cs="Arial"/>
        </w:rPr>
        <w:t>89.2</w:t>
      </w:r>
      <w:r>
        <w:rPr>
          <w:rFonts w:ascii="Arial" w:hAnsi="Arial" w:cs="Arial"/>
        </w:rPr>
        <w:fldChar w:fldCharType="end"/>
      </w:r>
      <w:r>
        <w:rPr>
          <w:rFonts w:ascii="Arial" w:hAnsi="Arial" w:cs="Arial"/>
        </w:rPr>
        <w:t xml:space="preserve"> této Smlouvy, není-li to s ohledem na práva třetích osob možné.</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Zdrojový kód, dokumentace a externí komponenty budou Objednateli předány ve formátu běžně dostupném a čitelném prostřednictvím </w:t>
      </w:r>
      <w:proofErr w:type="spellStart"/>
      <w:r>
        <w:rPr>
          <w:rFonts w:ascii="Arial" w:hAnsi="Arial" w:cs="Arial"/>
        </w:rPr>
        <w:t>repozitáře</w:t>
      </w:r>
      <w:proofErr w:type="spellEnd"/>
      <w:r>
        <w:rPr>
          <w:rFonts w:ascii="Arial" w:hAnsi="Arial" w:cs="Arial"/>
        </w:rPr>
        <w:t xml:space="preserve"> nebo datového uložiště zvoleného Objednatelem, nedohodnou-li se Strany jinak.</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lastRenderedPageBreak/>
        <w:t>Zdrojový kód a dokumentace budou mít kvalitu a rozsah dle nejvyšších standardů akceptovaných (tzv. </w:t>
      </w:r>
      <w:proofErr w:type="spellStart"/>
      <w:r>
        <w:rPr>
          <w:rFonts w:ascii="Arial" w:hAnsi="Arial" w:cs="Arial"/>
        </w:rPr>
        <w:t>state</w:t>
      </w:r>
      <w:proofErr w:type="spellEnd"/>
      <w:r>
        <w:rPr>
          <w:rFonts w:ascii="Arial" w:hAnsi="Arial" w:cs="Arial"/>
        </w:rPr>
        <w:t>-</w:t>
      </w:r>
      <w:proofErr w:type="spellStart"/>
      <w:r>
        <w:rPr>
          <w:rFonts w:ascii="Arial" w:hAnsi="Arial" w:cs="Arial"/>
        </w:rPr>
        <w:t>of</w:t>
      </w:r>
      <w:proofErr w:type="spellEnd"/>
      <w:r>
        <w:rPr>
          <w:rFonts w:ascii="Arial" w:hAnsi="Arial" w:cs="Arial"/>
        </w:rPr>
        <w:t>-</w:t>
      </w:r>
      <w:proofErr w:type="spellStart"/>
      <w:r>
        <w:rPr>
          <w:rFonts w:ascii="Arial" w:hAnsi="Arial" w:cs="Arial"/>
        </w:rPr>
        <w:t>the</w:t>
      </w:r>
      <w:proofErr w:type="spellEnd"/>
      <w:r>
        <w:rPr>
          <w:rFonts w:ascii="Arial" w:hAnsi="Arial" w:cs="Arial"/>
        </w:rPr>
        <w:t>-art) v oblasti vývoje a tvorby webů. Zdrojový kód bude řádně komentovaný tak, aby jakýkoliv jiný odborník v oblasti vývoje webových stránek byl schopen s vynaložením přiměřeného úsilí na něj navázat, zejm. za účelem úprav a vývoje Nových webových stránek, a dále bude zdrojový kód čitelný a kompilovatelný za použití běžně dostupného a používaného softwarového vybavení.</w:t>
      </w:r>
    </w:p>
    <w:p>
      <w:pPr>
        <w:pStyle w:val="Odstavecseseznamem"/>
        <w:keepNext/>
        <w:numPr>
          <w:ilvl w:val="0"/>
          <w:numId w:val="2"/>
        </w:numPr>
        <w:spacing w:before="240" w:after="240" w:line="276" w:lineRule="auto"/>
        <w:ind w:left="1276" w:hanging="357"/>
        <w:contextualSpacing w:val="0"/>
        <w:jc w:val="center"/>
        <w:rPr>
          <w:rFonts w:ascii="Arial" w:hAnsi="Arial" w:cs="Arial"/>
          <w:b/>
          <w:bCs/>
        </w:rPr>
      </w:pPr>
      <w:r>
        <w:rPr>
          <w:rFonts w:ascii="Arial" w:hAnsi="Arial" w:cs="Arial"/>
          <w:b/>
          <w:bCs/>
        </w:rPr>
        <w:t>PRÁVA DUŠEVNÍHO VLASTNICTVÍ</w:t>
      </w:r>
      <w:bookmarkEnd w:id="96"/>
    </w:p>
    <w:bookmarkEnd w:id="97"/>
    <w:p>
      <w:pPr>
        <w:pStyle w:val="Odstavecseseznamem"/>
        <w:numPr>
          <w:ilvl w:val="0"/>
          <w:numId w:val="1"/>
        </w:numPr>
        <w:spacing w:before="240" w:after="240"/>
        <w:jc w:val="both"/>
        <w:rPr>
          <w:rFonts w:ascii="Arial" w:hAnsi="Arial" w:cs="Arial"/>
        </w:rPr>
      </w:pPr>
      <w:r>
        <w:rPr>
          <w:rFonts w:ascii="Arial" w:hAnsi="Arial" w:cs="Arial"/>
        </w:rPr>
        <w:t>Pro účely této Smlouvy se plnění poskytované Dodavatelem, které naplňuje znaky předmětu práva duševního vlastnictví, člení následovně:</w:t>
      </w:r>
    </w:p>
    <w:p>
      <w:pPr>
        <w:pStyle w:val="Odstavecseseznamem"/>
        <w:spacing w:before="240" w:after="240"/>
        <w:ind w:left="567"/>
        <w:jc w:val="both"/>
        <w:rPr>
          <w:rFonts w:ascii="Arial" w:hAnsi="Arial" w:cs="Arial"/>
        </w:rPr>
      </w:pPr>
    </w:p>
    <w:p>
      <w:pPr>
        <w:pStyle w:val="Odstavecseseznamem"/>
        <w:numPr>
          <w:ilvl w:val="1"/>
          <w:numId w:val="1"/>
        </w:numPr>
        <w:spacing w:before="240" w:after="240"/>
        <w:jc w:val="both"/>
        <w:rPr>
          <w:rFonts w:ascii="Arial" w:hAnsi="Arial" w:cs="Arial"/>
        </w:rPr>
      </w:pPr>
      <w:r>
        <w:rPr>
          <w:rFonts w:ascii="Arial" w:hAnsi="Arial" w:cs="Arial"/>
        </w:rPr>
        <w:t>dílo dodávané Dodavatelem dle této Smlouvy, které bylo vytvořeno nebo upraveno pro účely této Smlouvy (dále jen „</w:t>
      </w:r>
      <w:r>
        <w:rPr>
          <w:rFonts w:ascii="Arial" w:hAnsi="Arial" w:cs="Arial"/>
          <w:b/>
        </w:rPr>
        <w:t>Individualizované dílo</w:t>
      </w:r>
      <w:r>
        <w:rPr>
          <w:rFonts w:ascii="Arial" w:hAnsi="Arial" w:cs="Arial"/>
        </w:rPr>
        <w:t xml:space="preserve">“), </w:t>
      </w:r>
    </w:p>
    <w:p>
      <w:pPr>
        <w:pStyle w:val="Odstavecseseznamem"/>
        <w:numPr>
          <w:ilvl w:val="1"/>
          <w:numId w:val="1"/>
        </w:numPr>
        <w:spacing w:before="240" w:after="240"/>
        <w:jc w:val="both"/>
        <w:rPr>
          <w:rFonts w:ascii="Arial" w:hAnsi="Arial" w:cs="Arial"/>
        </w:rPr>
      </w:pPr>
      <w:bookmarkStart w:id="98" w:name="_Ref223350153"/>
      <w:r>
        <w:rPr>
          <w:rFonts w:ascii="Arial" w:hAnsi="Arial" w:cs="Arial"/>
        </w:rPr>
        <w:t>dílo dodávané Dodavatelem dle této Smlouvy, které nebylo vytvořeno nebo upraveno pro účely této Smlouvy (dále jen „</w:t>
      </w:r>
      <w:r>
        <w:rPr>
          <w:rFonts w:ascii="Arial" w:hAnsi="Arial" w:cs="Arial"/>
          <w:b/>
        </w:rPr>
        <w:t>Standardizované dílo</w:t>
      </w:r>
      <w:r>
        <w:rPr>
          <w:rFonts w:ascii="Arial" w:hAnsi="Arial" w:cs="Arial"/>
        </w:rPr>
        <w:t>“).</w:t>
      </w:r>
      <w:bookmarkEnd w:id="98"/>
    </w:p>
    <w:p>
      <w:pPr>
        <w:pStyle w:val="Odstavecseseznamem"/>
        <w:spacing w:before="240" w:after="240"/>
        <w:ind w:left="1134"/>
        <w:jc w:val="both"/>
        <w:rPr>
          <w:rFonts w:ascii="Arial" w:hAnsi="Arial" w:cs="Arial"/>
        </w:rPr>
      </w:pPr>
    </w:p>
    <w:p>
      <w:pPr>
        <w:pStyle w:val="Odstavecseseznamem"/>
        <w:spacing w:before="240" w:after="240"/>
        <w:ind w:left="567"/>
        <w:jc w:val="both"/>
        <w:rPr>
          <w:rFonts w:ascii="Arial" w:hAnsi="Arial" w:cs="Arial"/>
        </w:rPr>
      </w:pPr>
      <w:r>
        <w:rPr>
          <w:rFonts w:ascii="Arial" w:hAnsi="Arial" w:cs="Arial"/>
        </w:rPr>
        <w:t>V případě pochybností o povaze plnění z hlediska rozlišení dle tohoto odstavce se na plnění hledí jako na Individualizované dílo, dokud Dodavatel neprokáže opak.</w:t>
      </w:r>
    </w:p>
    <w:p>
      <w:pPr>
        <w:pStyle w:val="Odstavecseseznamem"/>
        <w:spacing w:before="240" w:after="240"/>
        <w:ind w:left="567"/>
        <w:jc w:val="both"/>
        <w:rPr>
          <w:rFonts w:ascii="Arial" w:hAnsi="Arial" w:cs="Arial"/>
        </w:rPr>
      </w:pPr>
    </w:p>
    <w:p>
      <w:pPr>
        <w:pStyle w:val="Odstavecseseznamem"/>
        <w:numPr>
          <w:ilvl w:val="0"/>
          <w:numId w:val="1"/>
        </w:numPr>
        <w:spacing w:before="240" w:after="240"/>
        <w:jc w:val="both"/>
        <w:rPr>
          <w:rFonts w:ascii="Arial" w:hAnsi="Arial" w:cs="Arial"/>
        </w:rPr>
      </w:pPr>
      <w:r>
        <w:rPr>
          <w:rFonts w:ascii="Arial" w:hAnsi="Arial" w:cs="Arial"/>
        </w:rPr>
        <w:t>Dodavatel poskytuje Objednateli oprávnění k výkonu práv duševního vlastnictví k Individualizovanému dílu (dále jen „</w:t>
      </w:r>
      <w:r>
        <w:rPr>
          <w:rFonts w:ascii="Arial" w:hAnsi="Arial" w:cs="Arial"/>
          <w:b/>
          <w:bCs/>
        </w:rPr>
        <w:t>Licence k Individualizovanému dílu</w:t>
      </w:r>
      <w:r>
        <w:rPr>
          <w:rFonts w:ascii="Arial" w:hAnsi="Arial" w:cs="Arial"/>
        </w:rPr>
        <w:t>“). Licence se týká veškerých autorských nebo jiných duševních práv (jejichž povaha umožňuje licenci v dále uvedeném rozsahu poskytnout) k Individualizovanému dílu. Dodavatel uděluje Objednateli Licenci k Individualizovanému dílu v následujícím rozsahu:</w:t>
      </w:r>
    </w:p>
    <w:p>
      <w:pPr>
        <w:pStyle w:val="Odstavecseseznamem"/>
        <w:spacing w:before="240" w:after="240"/>
        <w:ind w:left="567"/>
        <w:jc w:val="both"/>
        <w:rPr>
          <w:rFonts w:ascii="Arial" w:hAnsi="Arial" w:cs="Arial"/>
        </w:rPr>
      </w:pPr>
    </w:p>
    <w:p>
      <w:pPr>
        <w:pStyle w:val="Odstavecseseznamem"/>
        <w:numPr>
          <w:ilvl w:val="1"/>
          <w:numId w:val="1"/>
        </w:numPr>
        <w:spacing w:before="240" w:after="240"/>
        <w:jc w:val="both"/>
        <w:rPr>
          <w:rFonts w:ascii="Arial" w:hAnsi="Arial" w:cs="Arial"/>
        </w:rPr>
      </w:pPr>
      <w:r>
        <w:rPr>
          <w:rFonts w:ascii="Arial" w:hAnsi="Arial" w:cs="Arial"/>
        </w:rPr>
        <w:t>Licence je výhradní k veškerým známým způsobům užití Individualizovaného díla, zejména (nikoliv však výlučně) k účelu, ke kterému bylo příslušné Individualizované dílo Objednateli poskytnuto v souladu se Smlouvou, a to v rozsahu minimálně nezbytném pro řádné užívání příslušného Individualizovaného díla Objednatelem v souladu s touto Smlouvou.</w:t>
      </w:r>
    </w:p>
    <w:p>
      <w:pPr>
        <w:pStyle w:val="Odstavecseseznamem"/>
        <w:numPr>
          <w:ilvl w:val="1"/>
          <w:numId w:val="1"/>
        </w:numPr>
        <w:spacing w:before="240" w:after="240"/>
        <w:jc w:val="both"/>
        <w:rPr>
          <w:rFonts w:ascii="Arial" w:hAnsi="Arial" w:cs="Arial"/>
        </w:rPr>
      </w:pPr>
      <w:r>
        <w:rPr>
          <w:rFonts w:ascii="Arial" w:hAnsi="Arial" w:cs="Arial"/>
        </w:rPr>
        <w:t>Licence je ze strany Dodavatele neodvolatelná a nevypověditelná.</w:t>
      </w:r>
    </w:p>
    <w:p>
      <w:pPr>
        <w:pStyle w:val="Odstavecseseznamem"/>
        <w:numPr>
          <w:ilvl w:val="1"/>
          <w:numId w:val="1"/>
        </w:numPr>
        <w:spacing w:before="240" w:after="240"/>
        <w:jc w:val="both"/>
        <w:rPr>
          <w:rFonts w:ascii="Arial" w:hAnsi="Arial" w:cs="Arial"/>
        </w:rPr>
      </w:pPr>
      <w:r>
        <w:rPr>
          <w:rFonts w:ascii="Arial" w:hAnsi="Arial" w:cs="Arial"/>
        </w:rPr>
        <w:t>Licence je neomezená územním či množstevním rozsahem, dále je Licence neomezená způsobem nebo rozsahem užití.</w:t>
      </w:r>
    </w:p>
    <w:p>
      <w:pPr>
        <w:pStyle w:val="Odstavecseseznamem"/>
        <w:numPr>
          <w:ilvl w:val="1"/>
          <w:numId w:val="1"/>
        </w:numPr>
        <w:spacing w:before="240" w:after="240"/>
        <w:jc w:val="both"/>
        <w:rPr>
          <w:rFonts w:ascii="Arial" w:hAnsi="Arial" w:cs="Arial"/>
        </w:rPr>
      </w:pPr>
      <w:r>
        <w:rPr>
          <w:rFonts w:ascii="Arial" w:hAnsi="Arial" w:cs="Arial"/>
        </w:rPr>
        <w:t>Licence je převoditelná a postupitelná, tj. udělena s právem udělení sublicence či postoupení licence jakékoliv třetí osobě; s tímto vyslovuje Dodavatel souhlas.</w:t>
      </w:r>
    </w:p>
    <w:p>
      <w:pPr>
        <w:pStyle w:val="Odstavecseseznamem"/>
        <w:numPr>
          <w:ilvl w:val="1"/>
          <w:numId w:val="1"/>
        </w:numPr>
        <w:spacing w:before="240" w:after="240"/>
        <w:jc w:val="both"/>
        <w:rPr>
          <w:rFonts w:ascii="Arial" w:hAnsi="Arial" w:cs="Arial"/>
        </w:rPr>
      </w:pPr>
      <w:r>
        <w:rPr>
          <w:rFonts w:ascii="Arial" w:hAnsi="Arial" w:cs="Arial"/>
        </w:rPr>
        <w:t xml:space="preserve">Licenci není Objednatel povinen využít. </w:t>
      </w:r>
    </w:p>
    <w:p>
      <w:pPr>
        <w:pStyle w:val="Odstavecseseznamem"/>
        <w:numPr>
          <w:ilvl w:val="1"/>
          <w:numId w:val="1"/>
        </w:numPr>
        <w:jc w:val="both"/>
        <w:rPr>
          <w:rFonts w:ascii="Arial" w:hAnsi="Arial" w:cs="Arial"/>
        </w:rPr>
      </w:pPr>
      <w:r>
        <w:rPr>
          <w:rFonts w:ascii="Arial" w:hAnsi="Arial" w:cs="Arial"/>
        </w:rPr>
        <w:t>Licence se poskytuje na dobu trvání majetkových práv k příslušnému dílu.</w:t>
      </w:r>
    </w:p>
    <w:p>
      <w:pPr>
        <w:pStyle w:val="Odstavecseseznamem"/>
        <w:ind w:left="1134"/>
        <w:jc w:val="both"/>
        <w:rPr>
          <w:rFonts w:ascii="Arial" w:hAnsi="Arial" w:cs="Arial"/>
        </w:rPr>
      </w:pPr>
    </w:p>
    <w:p>
      <w:pPr>
        <w:numPr>
          <w:ilvl w:val="0"/>
          <w:numId w:val="1"/>
        </w:numPr>
        <w:pBdr>
          <w:top w:val="nil"/>
          <w:left w:val="nil"/>
          <w:bottom w:val="nil"/>
          <w:right w:val="nil"/>
          <w:between w:val="nil"/>
        </w:pBdr>
        <w:suppressAutoHyphens w:val="0"/>
        <w:spacing w:before="240" w:after="240" w:line="276" w:lineRule="auto"/>
        <w:jc w:val="both"/>
        <w:rPr>
          <w:rFonts w:ascii="Arial" w:hAnsi="Arial" w:cs="Arial"/>
          <w:color w:val="000000"/>
          <w:highlight w:val="white"/>
        </w:rPr>
      </w:pPr>
      <w:r>
        <w:rPr>
          <w:rFonts w:ascii="Arial" w:hAnsi="Arial" w:cs="Arial"/>
          <w:color w:val="000000"/>
          <w:highlight w:val="white"/>
        </w:rPr>
        <w:t>Dodavatel uděluje Objednateli souhlas k tomu, aby Objednatel (či Objednatelem pověřená třetí osoba) dle své potřeby zasahoval do Individualizovaného díla, zejm. je oprávněn jej zveřejnit, upravovat, zpracovávat, překládat, měnit jeho název, spojit s dílem jiným a zařadit jej do díla souborného. Ustanovení tohoto odstavce neomezuje práva Objednatele plynoucí z § 66 zákona č. 121/2000 Sb., autorský zákon, ve znění pozdějších předpisů (dále jen „</w:t>
      </w:r>
      <w:r>
        <w:rPr>
          <w:rFonts w:ascii="Arial" w:hAnsi="Arial" w:cs="Arial"/>
          <w:b/>
          <w:bCs/>
          <w:color w:val="000000"/>
          <w:highlight w:val="white"/>
        </w:rPr>
        <w:t>autorský zákon</w:t>
      </w:r>
      <w:r>
        <w:rPr>
          <w:rFonts w:ascii="Arial" w:hAnsi="Arial" w:cs="Arial"/>
          <w:color w:val="000000"/>
          <w:highlight w:val="white"/>
        </w:rPr>
        <w:t>“).</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color w:val="000000"/>
          <w:highlight w:val="white"/>
        </w:rPr>
      </w:pPr>
      <w:r>
        <w:rPr>
          <w:rFonts w:ascii="Arial" w:hAnsi="Arial" w:cs="Arial"/>
          <w:color w:val="000000"/>
          <w:highlight w:val="white"/>
        </w:rPr>
        <w:t xml:space="preserve">Dodavatel je povinen poskytnout Licenci ke Standardizovanému dílu nebo zajistit její poskytnutí Objednateli třetí osobou v rozsahu, který zajistí plnou využitelnost </w:t>
      </w:r>
      <w:r>
        <w:rPr>
          <w:rFonts w:ascii="Arial" w:hAnsi="Arial" w:cs="Arial"/>
          <w:color w:val="000000"/>
          <w:highlight w:val="white"/>
        </w:rPr>
        <w:lastRenderedPageBreak/>
        <w:t>Standardizovaného díla při vývoji, rozvoji, provozu a užívání Nových webových stránek bez nutnosti platit Dodavateli nebo třetí osobě odměnu nad rámec odměny dle této Smlouvy.</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color w:val="000000"/>
          <w:highlight w:val="white"/>
        </w:rPr>
      </w:pPr>
      <w:r>
        <w:rPr>
          <w:rFonts w:ascii="Arial" w:hAnsi="Arial" w:cs="Arial"/>
          <w:color w:val="000000"/>
        </w:rPr>
        <w:t xml:space="preserve">Dodavatel musí předat Objednateli všechny využité komponenty, zejm. součásti </w:t>
      </w:r>
      <w:r>
        <w:rPr>
          <w:rFonts w:ascii="Arial" w:hAnsi="Arial" w:cs="Arial"/>
          <w:color w:val="000000"/>
          <w:highlight w:val="white"/>
        </w:rPr>
        <w:t>Nových webových stránek</w:t>
      </w:r>
      <w:r>
        <w:rPr>
          <w:rFonts w:ascii="Arial" w:hAnsi="Arial" w:cs="Arial"/>
          <w:color w:val="000000"/>
        </w:rPr>
        <w:t xml:space="preserve">, které představují Standardizované dílo, a to ve stavu, který umožní jejich využití pro další vývoj, rozvoj, provoz a užívání </w:t>
      </w:r>
      <w:r>
        <w:rPr>
          <w:rFonts w:ascii="Arial" w:hAnsi="Arial" w:cs="Arial"/>
          <w:color w:val="000000"/>
          <w:highlight w:val="white"/>
        </w:rPr>
        <w:t>Nových webových stránek</w:t>
      </w:r>
      <w:r>
        <w:rPr>
          <w:rFonts w:ascii="Arial" w:hAnsi="Arial" w:cs="Arial"/>
          <w:color w:val="000000"/>
        </w:rPr>
        <w:t>.</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color w:val="000000"/>
          <w:highlight w:val="white"/>
        </w:rPr>
      </w:pPr>
      <w:r>
        <w:rPr>
          <w:rFonts w:ascii="Arial" w:hAnsi="Arial" w:cs="Arial"/>
          <w:color w:val="000000"/>
          <w:highlight w:val="white"/>
        </w:rPr>
        <w:t>Dodavatel je při plnění Smlouvy oprávněn použít tzv. free and open-source software (dále jen „</w:t>
      </w:r>
      <w:r>
        <w:rPr>
          <w:rFonts w:ascii="Arial" w:hAnsi="Arial" w:cs="Arial"/>
          <w:b/>
          <w:color w:val="000000"/>
          <w:highlight w:val="white"/>
        </w:rPr>
        <w:t>FOSS</w:t>
      </w:r>
      <w:r>
        <w:rPr>
          <w:rFonts w:ascii="Arial" w:hAnsi="Arial" w:cs="Arial"/>
          <w:color w:val="000000"/>
          <w:highlight w:val="white"/>
        </w:rPr>
        <w:t>“) s tím, že užití FOSS a licence se k tomu vztahující nesmí být v rozporu s účelem této Smlouvy, zejm. provozu a rozvoji Nových webových stránek. Dodavatel společně s předáním svého výstupu, který obsahuje FOSS, sdělí Objednateli informace o tom, že byl FOSS použit a jaké licenční podmínky se na užití FOSS vztahují. Využije-li Dodavatel při plnění Smlouvy FOSS, zavazuje se zajistit po dobu trvání Smlouvy jeho podporu tak, aby nedošlo k omezení funkčnosti či bezpečnosti Nových webových stránek, zejména v situaci, kdy původní tvůrce příslušného FOSS přestane s jeho podporou. Odměna za jakékoliv plnění Dodavatele související se zajištěním podpory FOSS dle předchozí věty, včetně případného nahrazení FOSS bez podpory jiným software, je zahrnuta v Odměně za Provoz a Dodavateli nenáleží žádná další odměna či kompenzace.</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color w:val="000000"/>
          <w:highlight w:val="white"/>
        </w:rPr>
      </w:pPr>
      <w:r>
        <w:rPr>
          <w:rFonts w:ascii="Arial" w:hAnsi="Arial" w:cs="Arial"/>
          <w:color w:val="000000"/>
          <w:highlight w:val="white"/>
        </w:rPr>
        <w:t xml:space="preserve">Oprávnění poskytnutá Objednateli na základě Licence k Individualizovanému dílu, případně Licence ke Standardizovanému dílu či jiných oprávnění k užití předmětů práv duševního vlastnictví podle tohoto článku, jsou ze strany Dodavatele neodvolatelná a nelze je jednostranně vypovědět ani jinak zrušit. Zánik závazku z této Smlouvy nemá na trvání těchto oprávnění vliv. </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color w:val="000000"/>
          <w:highlight w:val="white"/>
        </w:rPr>
      </w:pPr>
      <w:r>
        <w:rPr>
          <w:rFonts w:ascii="Arial" w:hAnsi="Arial" w:cs="Arial"/>
          <w:color w:val="000000"/>
          <w:highlight w:val="white"/>
        </w:rPr>
        <w:t>V případě, že v rámci plnění této Smlouvy vznikne databáze splňující zákonné podmínky pro ochranu zvláštním právem pořizovatele databáze, považuje se za jejího pořizovatele Objednatel, jemuž náleží veškerá zvláštní práva pořizovatele databáze podle příslušných právních předpisů.</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color w:val="000000"/>
          <w:highlight w:val="white"/>
        </w:rPr>
      </w:pPr>
      <w:r>
        <w:rPr>
          <w:rFonts w:ascii="Arial" w:hAnsi="Arial" w:cs="Arial"/>
          <w:color w:val="000000"/>
          <w:highlight w:val="white"/>
        </w:rPr>
        <w:t>Cena za poskytnutí veškerých licencí a dalších oprávnění podle tohoto článku je zahrnuta v odměně sjednané za příslušné plnění dle této Smlouvy. Dodavatel prohlašuje a zavazuje se zajistit, že nositelům práv duševního vlastnictví k plnění poskytovanému na základě této Smlouvy nevznikne vůči Objednateli žádný nárok na odměnu ani na jakékoli jiné plnění v souvislosti s jeho užitím.</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rPr>
      </w:pPr>
      <w:r>
        <w:rPr>
          <w:rFonts w:ascii="Arial" w:hAnsi="Arial" w:cs="Arial"/>
          <w:color w:val="000000"/>
          <w:highlight w:val="white"/>
        </w:rPr>
        <w:t>Pro případ, že užíváním jakéhokoliv autorského díla nebo jeho prostou existencí budou v důsledku porušení povinností Dodavatele dotčena práva duševního vlastnictví třetích osob, nese Dodavatel vedle odpovědnosti za takovéto vady i odpovědnost za veškerou majetkovou i nemajetkovou újmu, která tím Objednateli vznikne v důsledku toho, že Objednatel nemohl plnění užívat řádně a nerušeně. V rámci toho se Dodavatel zavazuje vypořádat veškeré nároky třetích osob z práv duševního vlastnictví vznesené proti Objednateli v souvislosti s plněním této Smlouvy Dodavatelem nebo odškodnit Objednatele za jakékoliv plnění, které byl Objednatel povinen poskytnout třetí osobě z titulu jejího nároku z práv z duševního vlastnictví vzniklého v souvislosti s plněním této Smlouvy Dodavatelem, a nahradit Objednateli jakékoliv náklady či újmu v souvislosti s tím vzniklé (včetně účelně vynaložených nákladů na právní obranu).</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lastRenderedPageBreak/>
        <w:t>Zjistí-li Objednatel, že je omezován ve výkonu svého práva užívat autorské dílo podle této Smlouvy třetími osobami, nebo zjistí-li, že jiné osoby toto právo porušují, je povinen bez zbytečného odkladu podat o tom zprávu Dodavateli. Dodavatel je povinen učinit veškeré kroky k tomu, aby Objednatel nebyl omezován ve výkonu svých práv vyplývajících z této Smlouvy.</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rPr>
      </w:pPr>
      <w:r>
        <w:rPr>
          <w:rFonts w:ascii="Arial" w:hAnsi="Arial" w:cs="Arial"/>
          <w:color w:val="000000"/>
          <w:highlight w:val="white"/>
        </w:rPr>
        <w:t xml:space="preserve">Dodavatel uděluje Objednateli souhlas k tomu, aby Objednatel (či Objednatelem pověřená třetí osoba) dle své potřeby zasahoval do autorského díla a zejm. je oprávněn jej zveřejnit, upravovat, zpracovávat, překládat, měnit jeho název, spojit s dílem jiným a zařadit jej do díla souborného. </w:t>
      </w:r>
      <w:r>
        <w:rPr>
          <w:rFonts w:ascii="Arial" w:hAnsi="Arial" w:cs="Arial"/>
          <w:color w:val="000000"/>
        </w:rPr>
        <w:t>Ustanovení tohoto odstavce neomezuje práva Objednatele plynoucí z § 66 autorského zákona.</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rPr>
      </w:pPr>
      <w:r>
        <w:rPr>
          <w:rFonts w:ascii="Arial" w:hAnsi="Arial" w:cs="Arial"/>
          <w:color w:val="000000"/>
          <w:highlight w:val="white"/>
        </w:rPr>
        <w:t>Udělení veškerých práv Objednateli na základě Licence nelze ze strany Dodavatele vypovědět nebo jinak jednostranně zrušit a ukončení závazku z této Smlouvy nemá vliv na udělení těchto práv.</w:t>
      </w:r>
    </w:p>
    <w:p>
      <w:pPr>
        <w:numPr>
          <w:ilvl w:val="0"/>
          <w:numId w:val="1"/>
        </w:numPr>
        <w:pBdr>
          <w:top w:val="nil"/>
          <w:left w:val="nil"/>
          <w:bottom w:val="nil"/>
          <w:right w:val="nil"/>
          <w:between w:val="nil"/>
        </w:pBdr>
        <w:suppressAutoHyphens w:val="0"/>
        <w:spacing w:before="240" w:after="240" w:line="276" w:lineRule="auto"/>
        <w:jc w:val="both"/>
        <w:rPr>
          <w:rFonts w:ascii="Arial" w:hAnsi="Arial" w:cs="Arial"/>
          <w:color w:val="000000"/>
          <w:highlight w:val="white"/>
        </w:rPr>
      </w:pPr>
      <w:r>
        <w:rPr>
          <w:rFonts w:ascii="Arial" w:hAnsi="Arial" w:cs="Arial"/>
          <w:color w:val="000000"/>
          <w:highlight w:val="white"/>
        </w:rPr>
        <w:t>Vznikne-li v rámci plnění této Smlouvy databáze, která splňuje zákonné podmínky pro ochranu zvláštním právem pořizovatele databáze, je jejím pořizovatelem Objednatel a náleží mu všechna zvláštní práva pořizovatele databáze dle právních předpisů.</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bookmarkStart w:id="99" w:name="__RefHeading___Toc630_293221212"/>
      <w:bookmarkStart w:id="100" w:name="__RefHeading___Toc632_293221212"/>
      <w:bookmarkStart w:id="101" w:name="__RefHeading___Toc634_293221212"/>
      <w:bookmarkStart w:id="102" w:name="_Toc73341519"/>
      <w:bookmarkEnd w:id="99"/>
      <w:bookmarkEnd w:id="100"/>
      <w:bookmarkEnd w:id="101"/>
      <w:r>
        <w:rPr>
          <w:rFonts w:ascii="Arial" w:hAnsi="Arial" w:cs="Arial"/>
          <w:b/>
          <w:bCs/>
        </w:rPr>
        <w:t>ODPOVĚDNOST ZA ŠKODU</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Smluvní strany nesou odpovědnost za způsobenou škodu v rámci platných a účinných právních předpisů a této Smlouvy. Smluvní strany se zavazují k vyvinutí maximálního úsilí k předcházení škodám a k minimalizaci vzniklých škod. Každá ze Stran se zavazuje upozornit vždy druhou Stranu bez zbytečného odkladu na vzniklé okolnosti bránící řádnému plnění této Smlouvy a zavazují se k maximálnímu úsilí k jejich odvrácení a překonání.</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Žádná ze Smluvních stran není odpovědna za škodu způsobenou prodlením druhé Smluvní strany s jejím vlastním plněním.</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Žádná ze Smluvních stran není odpovědná za prodlení způsobené okolnostmi vylučujícími odpovědnost. Za okolnosti vylučující odpovědnost se považuje překážka, jež nastala nezávisle na vůli povinné strany a brání jí ve splnění její povinnosti, jestliže nelze rozumně předpokládat, že by povinná strana tuto překážku nebo její následky odvrátila nebo překonala, a dále že by v době vzniku takovou překážku předvídala. Odpovědnost nevylučuje překážka, která vznikla teprve v době, kdy povinná strana byla v prodlení s plněním své povinnosti a/nebo vznikla z důvodů jejích hospodářských poměrů. Účinky vylučující odpovědnost jsou omezeny pouze na dobu, dokud trvá překážka, s níž jsou tyto povinnosti spojeny.</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Každá ze Smluvních stran je oprávněna požadovat náhradu škody i v případě, že se jedná o porušení povinnosti, na kterou se vztahuje smluvní pokuta.</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r>
        <w:rPr>
          <w:rFonts w:ascii="Arial" w:hAnsi="Arial" w:cs="Arial"/>
          <w:b/>
          <w:bCs/>
        </w:rPr>
        <w:t xml:space="preserve">SANKCE </w:t>
      </w:r>
    </w:p>
    <w:bookmarkEnd w:id="102"/>
    <w:p>
      <w:pPr>
        <w:keepNext/>
        <w:numPr>
          <w:ilvl w:val="0"/>
          <w:numId w:val="1"/>
        </w:numPr>
        <w:suppressAutoHyphens w:val="0"/>
        <w:spacing w:before="240" w:after="240" w:line="276" w:lineRule="auto"/>
        <w:jc w:val="both"/>
        <w:rPr>
          <w:rFonts w:ascii="Arial" w:hAnsi="Arial" w:cs="Arial"/>
        </w:rPr>
      </w:pPr>
      <w:r>
        <w:rPr>
          <w:rFonts w:ascii="Arial" w:hAnsi="Arial" w:cs="Arial"/>
        </w:rPr>
        <w:t xml:space="preserve">Poruší-li Dodavatel povinnost předat výstupy části plnění Dodávka v době sjednané v odst. </w:t>
      </w:r>
      <w:r>
        <w:rPr>
          <w:rFonts w:ascii="Arial" w:hAnsi="Arial" w:cs="Arial"/>
        </w:rPr>
        <w:fldChar w:fldCharType="begin"/>
      </w:r>
      <w:r>
        <w:rPr>
          <w:rFonts w:ascii="Arial" w:hAnsi="Arial" w:cs="Arial"/>
        </w:rPr>
        <w:instrText xml:space="preserve"> REF _Ref165881843 \r \h </w:instrText>
      </w:r>
      <w:r>
        <w:rPr>
          <w:rFonts w:ascii="Arial" w:hAnsi="Arial" w:cs="Arial"/>
        </w:rPr>
      </w:r>
      <w:r>
        <w:rPr>
          <w:rFonts w:ascii="Arial" w:hAnsi="Arial" w:cs="Arial"/>
        </w:rPr>
        <w:fldChar w:fldCharType="separate"/>
      </w:r>
      <w:r>
        <w:rPr>
          <w:rFonts w:ascii="Arial" w:hAnsi="Arial" w:cs="Arial"/>
        </w:rPr>
        <w:t>38</w:t>
      </w:r>
      <w:r>
        <w:rPr>
          <w:rFonts w:ascii="Arial" w:hAnsi="Arial" w:cs="Arial"/>
        </w:rPr>
        <w:fldChar w:fldCharType="end"/>
      </w:r>
      <w:r>
        <w:rPr>
          <w:rFonts w:ascii="Arial" w:hAnsi="Arial" w:cs="Arial"/>
        </w:rPr>
        <w:t xml:space="preserve"> této Smlouvy, je Dodavatel povinen uhradit Objednateli smluvní pokutu ve výši </w:t>
      </w:r>
      <w:proofErr w:type="gramStart"/>
      <w:r>
        <w:rPr>
          <w:rFonts w:ascii="Arial" w:hAnsi="Arial" w:cs="Arial"/>
          <w:lang w:bidi="en-US"/>
        </w:rPr>
        <w:lastRenderedPageBreak/>
        <w:t>1.000</w:t>
      </w:r>
      <w:r>
        <w:rPr>
          <w:rFonts w:ascii="Arial" w:hAnsi="Arial" w:cs="Arial"/>
        </w:rPr>
        <w:t>,-</w:t>
      </w:r>
      <w:proofErr w:type="gramEnd"/>
      <w:r>
        <w:rPr>
          <w:rFonts w:ascii="Arial" w:hAnsi="Arial" w:cs="Arial"/>
        </w:rPr>
        <w:t xml:space="preserve"> Kč za každý, i započatý den prodlení. V případě prodlení delším jak 14 dnů se smluvní pokuta od 15. dne navyšuje na </w:t>
      </w:r>
      <w:proofErr w:type="gramStart"/>
      <w:r>
        <w:rPr>
          <w:rFonts w:ascii="Arial" w:hAnsi="Arial" w:cs="Arial"/>
        </w:rPr>
        <w:t>2.000,-</w:t>
      </w:r>
      <w:proofErr w:type="gramEnd"/>
      <w:r>
        <w:rPr>
          <w:rFonts w:ascii="Arial" w:hAnsi="Arial" w:cs="Arial"/>
        </w:rPr>
        <w:t xml:space="preserve"> Kč za každý, i jen započatý den prodlení. </w:t>
      </w:r>
    </w:p>
    <w:p>
      <w:pPr>
        <w:numPr>
          <w:ilvl w:val="0"/>
          <w:numId w:val="1"/>
        </w:numPr>
        <w:suppressAutoHyphens w:val="0"/>
        <w:spacing w:before="240" w:after="240" w:line="276" w:lineRule="auto"/>
        <w:jc w:val="both"/>
        <w:rPr>
          <w:rFonts w:ascii="Arial" w:hAnsi="Arial" w:cs="Arial"/>
        </w:rPr>
      </w:pPr>
      <w:r>
        <w:rPr>
          <w:rFonts w:ascii="Arial" w:hAnsi="Arial" w:cs="Arial"/>
        </w:rPr>
        <w:t xml:space="preserve">Poruší-li Dodavatel povinnost odstranit vady v průběhu Pilotního provozu ve lhůtě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_Ref223351083 \r \h </w:instrText>
      </w:r>
      <w:r>
        <w:rPr>
          <w:rFonts w:ascii="Arial" w:hAnsi="Arial" w:cs="Arial"/>
        </w:rPr>
      </w:r>
      <w:r>
        <w:rPr>
          <w:rFonts w:ascii="Arial" w:hAnsi="Arial" w:cs="Arial"/>
        </w:rPr>
        <w:fldChar w:fldCharType="separate"/>
      </w:r>
      <w:r>
        <w:rPr>
          <w:rFonts w:ascii="Arial" w:hAnsi="Arial" w:cs="Arial"/>
        </w:rPr>
        <w:t>11.7</w:t>
      </w:r>
      <w:r>
        <w:rPr>
          <w:rFonts w:ascii="Arial" w:hAnsi="Arial" w:cs="Arial"/>
        </w:rPr>
        <w:fldChar w:fldCharType="end"/>
      </w:r>
      <w:r>
        <w:rPr>
          <w:rFonts w:ascii="Arial" w:hAnsi="Arial" w:cs="Arial"/>
        </w:rPr>
        <w:t xml:space="preserve"> této Smlouvy, je Dodavatel povinen uhradit Objednateli smluvní pokutu ve výši </w:t>
      </w:r>
      <w:r>
        <w:rPr>
          <w:rFonts w:ascii="Arial" w:hAnsi="Arial" w:cs="Arial"/>
          <w:lang w:bidi="en-US"/>
        </w:rPr>
        <w:t>500</w:t>
      </w:r>
      <w:r>
        <w:rPr>
          <w:rFonts w:ascii="Arial" w:hAnsi="Arial" w:cs="Arial"/>
        </w:rPr>
        <w:t>,- Kč za každý, i započatý den prodlení.</w:t>
      </w:r>
    </w:p>
    <w:p>
      <w:pPr>
        <w:numPr>
          <w:ilvl w:val="0"/>
          <w:numId w:val="1"/>
        </w:numPr>
        <w:suppressAutoHyphens w:val="0"/>
        <w:spacing w:before="240" w:after="240" w:line="276" w:lineRule="auto"/>
        <w:jc w:val="both"/>
        <w:rPr>
          <w:rFonts w:ascii="Arial" w:hAnsi="Arial" w:cs="Arial"/>
        </w:rPr>
      </w:pPr>
      <w:r>
        <w:rPr>
          <w:rFonts w:ascii="Arial" w:hAnsi="Arial" w:cs="Arial"/>
        </w:rPr>
        <w:t xml:space="preserve">Poruší-li Dodavatel povinnost odstranit po skončení Pilotního provozu Podstatnou vadu ve lhůtě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_Ref223361884 \r \h </w:instrText>
      </w:r>
      <w:r>
        <w:rPr>
          <w:rFonts w:ascii="Arial" w:hAnsi="Arial" w:cs="Arial"/>
        </w:rPr>
      </w:r>
      <w:r>
        <w:rPr>
          <w:rFonts w:ascii="Arial" w:hAnsi="Arial" w:cs="Arial"/>
        </w:rPr>
        <w:fldChar w:fldCharType="separate"/>
      </w:r>
      <w:r>
        <w:rPr>
          <w:rFonts w:ascii="Arial" w:hAnsi="Arial" w:cs="Arial"/>
        </w:rPr>
        <w:t>11.9</w:t>
      </w:r>
      <w:r>
        <w:rPr>
          <w:rFonts w:ascii="Arial" w:hAnsi="Arial" w:cs="Arial"/>
        </w:rPr>
        <w:fldChar w:fldCharType="end"/>
      </w:r>
      <w:r>
        <w:rPr>
          <w:rFonts w:ascii="Arial" w:hAnsi="Arial" w:cs="Arial"/>
        </w:rPr>
        <w:t xml:space="preserve"> této Smlouvy, je povinen uhradit Objednateli smluvní pokutu ve výši </w:t>
      </w:r>
      <w:proofErr w:type="gramStart"/>
      <w:r>
        <w:rPr>
          <w:rFonts w:ascii="Arial" w:hAnsi="Arial" w:cs="Arial"/>
          <w:lang w:bidi="en-US"/>
        </w:rPr>
        <w:t>1.000</w:t>
      </w:r>
      <w:r>
        <w:rPr>
          <w:rFonts w:ascii="Arial" w:hAnsi="Arial" w:cs="Arial"/>
        </w:rPr>
        <w:t>,-</w:t>
      </w:r>
      <w:proofErr w:type="gramEnd"/>
      <w:r>
        <w:rPr>
          <w:rFonts w:ascii="Arial" w:hAnsi="Arial" w:cs="Arial"/>
        </w:rPr>
        <w:t xml:space="preserve"> Kč za každý, i započatý den prodlení. </w:t>
      </w:r>
    </w:p>
    <w:p>
      <w:pPr>
        <w:numPr>
          <w:ilvl w:val="0"/>
          <w:numId w:val="1"/>
        </w:numPr>
        <w:suppressAutoHyphens w:val="0"/>
        <w:spacing w:before="240" w:after="240" w:line="276" w:lineRule="auto"/>
        <w:jc w:val="both"/>
        <w:rPr>
          <w:rFonts w:ascii="Arial" w:hAnsi="Arial" w:cs="Arial"/>
        </w:rPr>
      </w:pPr>
      <w:r>
        <w:rPr>
          <w:rFonts w:ascii="Arial" w:hAnsi="Arial" w:cs="Arial"/>
        </w:rPr>
        <w:t xml:space="preserve">Poruší-li Dodavatel povinnost odstranit po skončení Pilotního provozu ve sjednané lhůtě Nepodstatnou vadu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_Ref223365337 \r \h </w:instrText>
      </w:r>
      <w:r>
        <w:rPr>
          <w:rFonts w:ascii="Arial" w:hAnsi="Arial" w:cs="Arial"/>
        </w:rPr>
      </w:r>
      <w:r>
        <w:rPr>
          <w:rFonts w:ascii="Arial" w:hAnsi="Arial" w:cs="Arial"/>
        </w:rPr>
        <w:fldChar w:fldCharType="separate"/>
      </w:r>
      <w:r>
        <w:rPr>
          <w:rFonts w:ascii="Arial" w:hAnsi="Arial" w:cs="Arial"/>
        </w:rPr>
        <w:t>11.10</w:t>
      </w:r>
      <w:r>
        <w:rPr>
          <w:rFonts w:ascii="Arial" w:hAnsi="Arial" w:cs="Arial"/>
        </w:rPr>
        <w:fldChar w:fldCharType="end"/>
      </w:r>
      <w:r>
        <w:rPr>
          <w:rFonts w:ascii="Arial" w:hAnsi="Arial" w:cs="Arial"/>
        </w:rPr>
        <w:t xml:space="preserve"> této Smlouvy, je povinen uhradit Objednateli smluvní pokutu ve výši </w:t>
      </w:r>
      <w:r>
        <w:rPr>
          <w:rFonts w:ascii="Arial" w:hAnsi="Arial" w:cs="Arial"/>
          <w:lang w:bidi="en-US"/>
        </w:rPr>
        <w:t>500</w:t>
      </w:r>
      <w:r>
        <w:rPr>
          <w:rFonts w:ascii="Arial" w:hAnsi="Arial" w:cs="Arial"/>
        </w:rPr>
        <w:t xml:space="preserve">,- Kč za každý, i započatý den prodlení. </w:t>
      </w:r>
    </w:p>
    <w:p>
      <w:pPr>
        <w:numPr>
          <w:ilvl w:val="0"/>
          <w:numId w:val="1"/>
        </w:numPr>
        <w:suppressAutoHyphens w:val="0"/>
        <w:spacing w:before="240" w:after="240" w:line="276" w:lineRule="auto"/>
        <w:jc w:val="both"/>
        <w:rPr>
          <w:rFonts w:ascii="Arial" w:hAnsi="Arial" w:cs="Arial"/>
        </w:rPr>
      </w:pPr>
      <w:r>
        <w:rPr>
          <w:rFonts w:ascii="Arial" w:hAnsi="Arial" w:cs="Arial"/>
        </w:rPr>
        <w:t xml:space="preserve">Dostane-li se Dodavatel do prodlení s dokončením sprintu ve lhůtě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_Ref223347592 \r \h </w:instrText>
      </w:r>
      <w:r>
        <w:rPr>
          <w:rFonts w:ascii="Arial" w:hAnsi="Arial" w:cs="Arial"/>
        </w:rPr>
      </w:r>
      <w:r>
        <w:rPr>
          <w:rFonts w:ascii="Arial" w:hAnsi="Arial" w:cs="Arial"/>
        </w:rPr>
        <w:fldChar w:fldCharType="separate"/>
      </w:r>
      <w:r>
        <w:rPr>
          <w:rFonts w:ascii="Arial" w:hAnsi="Arial" w:cs="Arial"/>
        </w:rPr>
        <w:t>14.3</w:t>
      </w:r>
      <w:r>
        <w:rPr>
          <w:rFonts w:ascii="Arial" w:hAnsi="Arial" w:cs="Arial"/>
        </w:rPr>
        <w:fldChar w:fldCharType="end"/>
      </w:r>
      <w:r>
        <w:rPr>
          <w:rFonts w:ascii="Arial" w:hAnsi="Arial" w:cs="Arial"/>
        </w:rPr>
        <w:t xml:space="preserve"> této Smlouvy a nepředá-li výsledek činnosti k převzetí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_Ref223351615 \r \h </w:instrText>
      </w:r>
      <w:r>
        <w:rPr>
          <w:rFonts w:ascii="Arial" w:hAnsi="Arial" w:cs="Arial"/>
        </w:rPr>
      </w:r>
      <w:r>
        <w:rPr>
          <w:rFonts w:ascii="Arial" w:hAnsi="Arial" w:cs="Arial"/>
        </w:rPr>
        <w:fldChar w:fldCharType="separate"/>
      </w:r>
      <w:r>
        <w:rPr>
          <w:rFonts w:ascii="Arial" w:hAnsi="Arial" w:cs="Arial"/>
        </w:rPr>
        <w:t>17.1</w:t>
      </w:r>
      <w:r>
        <w:rPr>
          <w:rFonts w:ascii="Arial" w:hAnsi="Arial" w:cs="Arial"/>
        </w:rPr>
        <w:fldChar w:fldCharType="end"/>
      </w:r>
      <w:r>
        <w:rPr>
          <w:rFonts w:ascii="Arial" w:hAnsi="Arial" w:cs="Arial"/>
        </w:rPr>
        <w:t xml:space="preserve"> této Smlouvy, je povinen zaplatit Objednateli smluvní pokutu ve výši 0,2 % z ceny příslušné Dílčí smlouvy za každý započatý den prodlení, nejvýše však do 20 % ceny této Dílčí smlouvy.</w:t>
      </w:r>
    </w:p>
    <w:p>
      <w:pPr>
        <w:numPr>
          <w:ilvl w:val="0"/>
          <w:numId w:val="1"/>
        </w:numPr>
        <w:suppressAutoHyphens w:val="0"/>
        <w:spacing w:before="240" w:after="240" w:line="276" w:lineRule="auto"/>
        <w:jc w:val="both"/>
        <w:rPr>
          <w:rFonts w:ascii="Arial" w:hAnsi="Arial" w:cs="Arial"/>
        </w:rPr>
      </w:pPr>
      <w:r>
        <w:rPr>
          <w:rFonts w:ascii="Arial" w:hAnsi="Arial" w:cs="Arial"/>
        </w:rPr>
        <w:t xml:space="preserve">Neodstraní-li Dodavatel vady vytknuté Objednatelem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_Ref223347825 \r \h </w:instrText>
      </w:r>
      <w:r>
        <w:rPr>
          <w:rFonts w:ascii="Arial" w:hAnsi="Arial" w:cs="Arial"/>
        </w:rPr>
      </w:r>
      <w:r>
        <w:rPr>
          <w:rFonts w:ascii="Arial" w:hAnsi="Arial" w:cs="Arial"/>
        </w:rPr>
        <w:fldChar w:fldCharType="separate"/>
      </w:r>
      <w:r>
        <w:rPr>
          <w:rFonts w:ascii="Arial" w:hAnsi="Arial" w:cs="Arial"/>
        </w:rPr>
        <w:t>17.3</w:t>
      </w:r>
      <w:r>
        <w:rPr>
          <w:rFonts w:ascii="Arial" w:hAnsi="Arial" w:cs="Arial"/>
        </w:rPr>
        <w:fldChar w:fldCharType="end"/>
      </w:r>
      <w:r>
        <w:rPr>
          <w:rFonts w:ascii="Arial" w:hAnsi="Arial" w:cs="Arial"/>
        </w:rPr>
        <w:t xml:space="preserve"> této Smlouvy ve lhůtě zvolené Objednatelem podle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_Ref223351734 \r \h </w:instrText>
      </w:r>
      <w:r>
        <w:rPr>
          <w:rFonts w:ascii="Arial" w:hAnsi="Arial" w:cs="Arial"/>
        </w:rPr>
      </w:r>
      <w:r>
        <w:rPr>
          <w:rFonts w:ascii="Arial" w:hAnsi="Arial" w:cs="Arial"/>
        </w:rPr>
        <w:fldChar w:fldCharType="separate"/>
      </w:r>
      <w:r>
        <w:rPr>
          <w:rFonts w:ascii="Arial" w:hAnsi="Arial" w:cs="Arial"/>
        </w:rPr>
        <w:t>17.4</w:t>
      </w:r>
      <w:r>
        <w:rPr>
          <w:rFonts w:ascii="Arial" w:hAnsi="Arial" w:cs="Arial"/>
        </w:rPr>
        <w:fldChar w:fldCharType="end"/>
      </w:r>
      <w:r>
        <w:rPr>
          <w:rFonts w:ascii="Arial" w:hAnsi="Arial" w:cs="Arial"/>
        </w:rPr>
        <w:t xml:space="preserve"> této Smlouvy, je povinen zaplatit Objednateli smluvní pokutu ve výši 1.000 Kč za každý započatý den prodlení a každou jednotlivou vadu.</w:t>
      </w:r>
    </w:p>
    <w:p>
      <w:pPr>
        <w:numPr>
          <w:ilvl w:val="0"/>
          <w:numId w:val="1"/>
        </w:numPr>
        <w:suppressAutoHyphens w:val="0"/>
        <w:spacing w:before="240" w:after="240" w:line="276" w:lineRule="auto"/>
        <w:jc w:val="both"/>
        <w:rPr>
          <w:rFonts w:ascii="Arial" w:hAnsi="Arial" w:cs="Arial"/>
        </w:rPr>
      </w:pPr>
      <w:r>
        <w:rPr>
          <w:rFonts w:ascii="Arial" w:hAnsi="Arial" w:cs="Arial"/>
        </w:rPr>
        <w:t xml:space="preserve">Poruší-li Dodavatel povinnost zajistit oddělení testovacího a produkčního prostředí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_Ref223347709 \r \h </w:instrText>
      </w:r>
      <w:r>
        <w:rPr>
          <w:rFonts w:ascii="Arial" w:hAnsi="Arial" w:cs="Arial"/>
        </w:rPr>
      </w:r>
      <w:r>
        <w:rPr>
          <w:rFonts w:ascii="Arial" w:hAnsi="Arial" w:cs="Arial"/>
        </w:rPr>
        <w:fldChar w:fldCharType="separate"/>
      </w:r>
      <w:r>
        <w:rPr>
          <w:rFonts w:ascii="Arial" w:hAnsi="Arial" w:cs="Arial"/>
        </w:rPr>
        <w:t>17.2</w:t>
      </w:r>
      <w:r>
        <w:rPr>
          <w:rFonts w:ascii="Arial" w:hAnsi="Arial" w:cs="Arial"/>
        </w:rPr>
        <w:fldChar w:fldCharType="end"/>
      </w:r>
      <w:r>
        <w:rPr>
          <w:rFonts w:ascii="Arial" w:hAnsi="Arial" w:cs="Arial"/>
        </w:rPr>
        <w:t xml:space="preserve"> této Smlouvy nebo nasadí-li změny v rozporu s podmínkami stanovenými v odst. </w:t>
      </w:r>
      <w:r>
        <w:rPr>
          <w:rFonts w:ascii="Arial" w:hAnsi="Arial" w:cs="Arial"/>
        </w:rPr>
        <w:fldChar w:fldCharType="begin"/>
      </w:r>
      <w:r>
        <w:rPr>
          <w:rFonts w:ascii="Arial" w:hAnsi="Arial" w:cs="Arial"/>
        </w:rPr>
        <w:instrText xml:space="preserve"> REF _Ref223348132 \r \h </w:instrText>
      </w:r>
      <w:r>
        <w:rPr>
          <w:rFonts w:ascii="Arial" w:hAnsi="Arial" w:cs="Arial"/>
        </w:rPr>
      </w:r>
      <w:r>
        <w:rPr>
          <w:rFonts w:ascii="Arial" w:hAnsi="Arial" w:cs="Arial"/>
        </w:rPr>
        <w:fldChar w:fldCharType="separate"/>
      </w:r>
      <w:r>
        <w:rPr>
          <w:rFonts w:ascii="Arial" w:hAnsi="Arial" w:cs="Arial"/>
        </w:rPr>
        <w:t>19</w:t>
      </w:r>
      <w:r>
        <w:rPr>
          <w:rFonts w:ascii="Arial" w:hAnsi="Arial" w:cs="Arial"/>
        </w:rPr>
        <w:fldChar w:fldCharType="end"/>
      </w:r>
      <w:r>
        <w:rPr>
          <w:rFonts w:ascii="Arial" w:hAnsi="Arial" w:cs="Arial"/>
        </w:rPr>
        <w:t xml:space="preserve"> této Smlouvy způsobem, který ohrozí provoz Nových webových stránek nebo bezpečnost dat, je povinen zaplatit Objednateli smluvní pokutu ve výši 10.000 Kč za každý jednotlivý případ porušení.</w:t>
      </w:r>
    </w:p>
    <w:p>
      <w:pPr>
        <w:numPr>
          <w:ilvl w:val="0"/>
          <w:numId w:val="1"/>
        </w:numPr>
        <w:suppressAutoHyphens w:val="0"/>
        <w:spacing w:before="240" w:after="240" w:line="276" w:lineRule="auto"/>
        <w:jc w:val="both"/>
        <w:rPr>
          <w:rFonts w:ascii="Arial" w:hAnsi="Arial" w:cs="Arial"/>
        </w:rPr>
      </w:pPr>
      <w:r>
        <w:rPr>
          <w:rFonts w:ascii="Arial" w:hAnsi="Arial" w:cs="Arial"/>
        </w:rPr>
        <w:t xml:space="preserve">Nedosáhne-li míra dostupnosti Nových webových stránek dle odst. </w:t>
      </w:r>
      <w:r>
        <w:rPr>
          <w:rFonts w:ascii="Arial" w:hAnsi="Arial" w:cs="Arial"/>
        </w:rPr>
        <w:fldChar w:fldCharType="begin"/>
      </w:r>
      <w:r>
        <w:rPr>
          <w:rFonts w:ascii="Arial" w:hAnsi="Arial" w:cs="Arial"/>
        </w:rPr>
        <w:instrText xml:space="preserve"> REF _Ref223317870 \r \h  \* MERGEFORMAT </w:instrText>
      </w:r>
      <w:r>
        <w:rPr>
          <w:rFonts w:ascii="Arial" w:hAnsi="Arial" w:cs="Arial"/>
        </w:rPr>
      </w:r>
      <w:r>
        <w:rPr>
          <w:rFonts w:ascii="Arial" w:hAnsi="Arial" w:cs="Arial"/>
        </w:rPr>
        <w:fldChar w:fldCharType="separate"/>
      </w:r>
      <w:r>
        <w:rPr>
          <w:rFonts w:ascii="Arial" w:hAnsi="Arial" w:cs="Arial"/>
        </w:rPr>
        <w:t>23</w:t>
      </w:r>
      <w:r>
        <w:rPr>
          <w:rFonts w:ascii="Arial" w:hAnsi="Arial" w:cs="Arial"/>
        </w:rPr>
        <w:fldChar w:fldCharType="end"/>
      </w:r>
      <w:r>
        <w:rPr>
          <w:rFonts w:ascii="Arial" w:hAnsi="Arial" w:cs="Arial"/>
        </w:rPr>
        <w:t xml:space="preserve"> této Smlouvy v daném kalendářním měsíci sjednané úrovně, je Dodavatel povinen zaplatit Objednateli smluvní pokutu ve výši 500 Kč za každou i započatou desetinu procenta dostupnosti </w:t>
      </w:r>
      <w:proofErr w:type="gramStart"/>
      <w:r>
        <w:rPr>
          <w:rFonts w:ascii="Arial" w:hAnsi="Arial" w:cs="Arial"/>
        </w:rPr>
        <w:t>Webu</w:t>
      </w:r>
      <w:proofErr w:type="gramEnd"/>
      <w:r>
        <w:rPr>
          <w:rFonts w:ascii="Arial" w:hAnsi="Arial" w:cs="Arial"/>
        </w:rPr>
        <w:t xml:space="preserve"> pod minimální mírou dostupnosti dle odst. </w:t>
      </w:r>
      <w:r>
        <w:rPr>
          <w:rFonts w:ascii="Arial" w:hAnsi="Arial" w:cs="Arial"/>
        </w:rPr>
        <w:fldChar w:fldCharType="begin"/>
      </w:r>
      <w:r>
        <w:rPr>
          <w:rFonts w:ascii="Arial" w:hAnsi="Arial" w:cs="Arial"/>
        </w:rPr>
        <w:instrText xml:space="preserve"> REF _Ref223317870 \r \h </w:instrText>
      </w:r>
      <w:r>
        <w:rPr>
          <w:rFonts w:ascii="Arial" w:hAnsi="Arial" w:cs="Arial"/>
        </w:rPr>
      </w:r>
      <w:r>
        <w:rPr>
          <w:rFonts w:ascii="Arial" w:hAnsi="Arial" w:cs="Arial"/>
        </w:rPr>
        <w:fldChar w:fldCharType="separate"/>
      </w:r>
      <w:r>
        <w:rPr>
          <w:rFonts w:ascii="Arial" w:hAnsi="Arial" w:cs="Arial"/>
        </w:rPr>
        <w:t>23</w:t>
      </w:r>
      <w:r>
        <w:rPr>
          <w:rFonts w:ascii="Arial" w:hAnsi="Arial" w:cs="Arial"/>
        </w:rPr>
        <w:fldChar w:fldCharType="end"/>
      </w:r>
      <w:r>
        <w:rPr>
          <w:rFonts w:ascii="Arial" w:hAnsi="Arial" w:cs="Arial"/>
        </w:rPr>
        <w:t xml:space="preserve"> této Smlouvy.</w:t>
      </w:r>
    </w:p>
    <w:p>
      <w:pPr>
        <w:numPr>
          <w:ilvl w:val="0"/>
          <w:numId w:val="1"/>
        </w:numPr>
        <w:suppressAutoHyphens w:val="0"/>
        <w:spacing w:before="240" w:after="240" w:line="276" w:lineRule="auto"/>
        <w:jc w:val="both"/>
        <w:rPr>
          <w:rFonts w:ascii="Arial" w:hAnsi="Arial" w:cs="Arial"/>
        </w:rPr>
      </w:pPr>
      <w:r>
        <w:rPr>
          <w:rFonts w:ascii="Arial" w:hAnsi="Arial" w:cs="Arial"/>
          <w:color w:val="000000"/>
        </w:rPr>
        <w:t xml:space="preserve">V případě prodlení Dodavatele se splnění povinností spojených s řešením Incidentů dle odst. </w:t>
      </w:r>
      <w:r>
        <w:rPr>
          <w:rFonts w:ascii="Arial" w:hAnsi="Arial" w:cs="Arial"/>
          <w:color w:val="000000"/>
        </w:rPr>
        <w:fldChar w:fldCharType="begin"/>
      </w:r>
      <w:r>
        <w:rPr>
          <w:rFonts w:ascii="Arial" w:hAnsi="Arial" w:cs="Arial"/>
          <w:color w:val="000000"/>
        </w:rPr>
        <w:instrText xml:space="preserve"> REF _Ref223536349 \r \h  \* MERGEFORMAT </w:instrText>
      </w:r>
      <w:r>
        <w:rPr>
          <w:rFonts w:ascii="Arial" w:hAnsi="Arial" w:cs="Arial"/>
          <w:color w:val="000000"/>
        </w:rPr>
      </w:r>
      <w:r>
        <w:rPr>
          <w:rFonts w:ascii="Arial" w:hAnsi="Arial" w:cs="Arial"/>
          <w:color w:val="000000"/>
        </w:rPr>
        <w:fldChar w:fldCharType="separate"/>
      </w:r>
      <w:r>
        <w:rPr>
          <w:rFonts w:ascii="Arial" w:hAnsi="Arial" w:cs="Arial"/>
          <w:color w:val="000000"/>
        </w:rPr>
        <w:t>30</w:t>
      </w:r>
      <w:r>
        <w:rPr>
          <w:rFonts w:ascii="Arial" w:hAnsi="Arial" w:cs="Arial"/>
          <w:color w:val="000000"/>
        </w:rPr>
        <w:fldChar w:fldCharType="end"/>
      </w:r>
      <w:r>
        <w:rPr>
          <w:rFonts w:ascii="Arial" w:hAnsi="Arial" w:cs="Arial"/>
          <w:color w:val="000000"/>
        </w:rPr>
        <w:t xml:space="preserve"> této Smlouvy oproti lhůtám tam uvedeným</w:t>
      </w:r>
      <w:r>
        <w:rPr>
          <w:rFonts w:ascii="Arial" w:hAnsi="Arial" w:cs="Arial"/>
        </w:rPr>
        <w:t>, je povinen zaplatit Objednateli smluvní pokutu ve výši:</w:t>
      </w:r>
    </w:p>
    <w:p>
      <w:pPr>
        <w:numPr>
          <w:ilvl w:val="1"/>
          <w:numId w:val="1"/>
        </w:numPr>
        <w:suppressAutoHyphens w:val="0"/>
        <w:spacing w:before="240" w:after="240" w:line="276" w:lineRule="auto"/>
        <w:jc w:val="both"/>
        <w:rPr>
          <w:rFonts w:ascii="Arial" w:hAnsi="Arial" w:cs="Arial"/>
        </w:rPr>
      </w:pPr>
      <w:r>
        <w:rPr>
          <w:rFonts w:ascii="Arial" w:hAnsi="Arial" w:cs="Arial"/>
        </w:rPr>
        <w:t>1.000 Kč za každou započatou hodinu prodlení u Incidentu úrovně A,</w:t>
      </w:r>
    </w:p>
    <w:p>
      <w:pPr>
        <w:numPr>
          <w:ilvl w:val="1"/>
          <w:numId w:val="1"/>
        </w:numPr>
        <w:suppressAutoHyphens w:val="0"/>
        <w:spacing w:before="240" w:after="240" w:line="276" w:lineRule="auto"/>
        <w:jc w:val="both"/>
        <w:rPr>
          <w:rFonts w:ascii="Arial" w:hAnsi="Arial" w:cs="Arial"/>
        </w:rPr>
      </w:pPr>
      <w:r>
        <w:rPr>
          <w:rFonts w:ascii="Arial" w:hAnsi="Arial" w:cs="Arial"/>
        </w:rPr>
        <w:t>2.000 Kč za každý započatý den prodlení u Incidentu úrovně B,</w:t>
      </w:r>
    </w:p>
    <w:p>
      <w:pPr>
        <w:numPr>
          <w:ilvl w:val="1"/>
          <w:numId w:val="1"/>
        </w:numPr>
        <w:suppressAutoHyphens w:val="0"/>
        <w:spacing w:before="240" w:after="240" w:line="276" w:lineRule="auto"/>
        <w:jc w:val="both"/>
        <w:rPr>
          <w:rFonts w:ascii="Arial" w:hAnsi="Arial" w:cs="Arial"/>
        </w:rPr>
      </w:pPr>
      <w:r>
        <w:rPr>
          <w:rFonts w:ascii="Arial" w:hAnsi="Arial" w:cs="Arial"/>
        </w:rPr>
        <w:t>1.000 Kč za každý započatý den prodlení u Incidentu úrovně C.</w:t>
      </w:r>
    </w:p>
    <w:p>
      <w:pPr>
        <w:numPr>
          <w:ilvl w:val="0"/>
          <w:numId w:val="1"/>
        </w:numPr>
        <w:suppressAutoHyphens w:val="0"/>
        <w:spacing w:before="240" w:after="240" w:line="276" w:lineRule="auto"/>
        <w:jc w:val="both"/>
        <w:rPr>
          <w:rFonts w:ascii="Arial" w:hAnsi="Arial" w:cs="Arial"/>
        </w:rPr>
      </w:pPr>
      <w:r>
        <w:rPr>
          <w:rFonts w:ascii="Arial" w:hAnsi="Arial" w:cs="Arial"/>
        </w:rPr>
        <w:t xml:space="preserve">Nesplní-li Dodavatel povinnost vést a uchovávat evidenci dle odst. </w:t>
      </w:r>
      <w:r>
        <w:rPr>
          <w:rFonts w:ascii="Arial" w:hAnsi="Arial" w:cs="Arial"/>
        </w:rPr>
        <w:fldChar w:fldCharType="begin"/>
      </w:r>
      <w:r>
        <w:rPr>
          <w:rFonts w:ascii="Arial" w:hAnsi="Arial" w:cs="Arial"/>
        </w:rPr>
        <w:instrText xml:space="preserve"> REF _Ref223352361 \r \h </w:instrText>
      </w:r>
      <w:r>
        <w:rPr>
          <w:rFonts w:ascii="Arial" w:hAnsi="Arial" w:cs="Arial"/>
        </w:rPr>
      </w:r>
      <w:r>
        <w:rPr>
          <w:rFonts w:ascii="Arial" w:hAnsi="Arial" w:cs="Arial"/>
        </w:rPr>
        <w:fldChar w:fldCharType="separate"/>
      </w:r>
      <w:r>
        <w:rPr>
          <w:rFonts w:ascii="Arial" w:hAnsi="Arial" w:cs="Arial"/>
        </w:rPr>
        <w:t>29</w:t>
      </w:r>
      <w:r>
        <w:rPr>
          <w:rFonts w:ascii="Arial" w:hAnsi="Arial" w:cs="Arial"/>
        </w:rPr>
        <w:fldChar w:fldCharType="end"/>
      </w:r>
      <w:r>
        <w:rPr>
          <w:rFonts w:ascii="Arial" w:hAnsi="Arial" w:cs="Arial"/>
        </w:rPr>
        <w:t xml:space="preserve"> této Smlouvy nebo neposkytne-li zálohu evidence ve lhůtě dle tohoto ustanovení, je povinen zaplatit Objednateli smluvní pokutu ve výši 1.000 Kč za každý započatý den prodlení.</w:t>
      </w:r>
    </w:p>
    <w:p>
      <w:pPr>
        <w:numPr>
          <w:ilvl w:val="0"/>
          <w:numId w:val="1"/>
        </w:numPr>
        <w:suppressAutoHyphens w:val="0"/>
        <w:spacing w:before="240" w:after="240" w:line="276" w:lineRule="auto"/>
        <w:jc w:val="both"/>
        <w:rPr>
          <w:rFonts w:ascii="Arial" w:hAnsi="Arial" w:cs="Arial"/>
        </w:rPr>
      </w:pPr>
      <w:r>
        <w:rPr>
          <w:rFonts w:ascii="Arial" w:hAnsi="Arial" w:cs="Arial"/>
        </w:rPr>
        <w:lastRenderedPageBreak/>
        <w:t xml:space="preserve">V případě prodlení Dodavatele s provedením Obnovy dle odst. </w:t>
      </w:r>
      <w:r>
        <w:rPr>
          <w:rFonts w:ascii="Arial" w:hAnsi="Arial" w:cs="Arial"/>
        </w:rPr>
        <w:fldChar w:fldCharType="begin"/>
      </w:r>
      <w:r>
        <w:rPr>
          <w:rFonts w:ascii="Arial" w:hAnsi="Arial" w:cs="Arial"/>
        </w:rPr>
        <w:instrText xml:space="preserve"> REF _Ref223352269 \r \h  \* MERGEFORMAT </w:instrText>
      </w:r>
      <w:r>
        <w:rPr>
          <w:rFonts w:ascii="Arial" w:hAnsi="Arial" w:cs="Arial"/>
        </w:rPr>
      </w:r>
      <w:r>
        <w:rPr>
          <w:rFonts w:ascii="Arial" w:hAnsi="Arial" w:cs="Arial"/>
        </w:rPr>
        <w:fldChar w:fldCharType="separate"/>
      </w:r>
      <w:r>
        <w:rPr>
          <w:rFonts w:ascii="Arial" w:hAnsi="Arial" w:cs="Arial"/>
        </w:rPr>
        <w:t>35</w:t>
      </w:r>
      <w:r>
        <w:rPr>
          <w:rFonts w:ascii="Arial" w:hAnsi="Arial" w:cs="Arial"/>
        </w:rPr>
        <w:fldChar w:fldCharType="end"/>
      </w:r>
      <w:r>
        <w:rPr>
          <w:rFonts w:ascii="Arial" w:hAnsi="Arial" w:cs="Arial"/>
        </w:rPr>
        <w:t xml:space="preserve">  této Smlouvy se Dodavatel zavazuje zaplatit Objednateli smluvní pokutu ve výši 2.000 Kč za každou i započatou hodinu prodlení.</w:t>
      </w:r>
    </w:p>
    <w:p>
      <w:pPr>
        <w:numPr>
          <w:ilvl w:val="0"/>
          <w:numId w:val="1"/>
        </w:numPr>
        <w:suppressAutoHyphens w:val="0"/>
        <w:spacing w:before="240" w:after="240" w:line="276" w:lineRule="auto"/>
        <w:jc w:val="both"/>
        <w:rPr>
          <w:rFonts w:ascii="Arial" w:hAnsi="Arial" w:cs="Arial"/>
        </w:rPr>
      </w:pPr>
      <w:r>
        <w:rPr>
          <w:rFonts w:ascii="Arial" w:hAnsi="Arial" w:cs="Arial"/>
        </w:rPr>
        <w:t xml:space="preserve">V případě prodlení Dodavatele s poskytnutím zálohy evidence požadavků dle odst. </w:t>
      </w:r>
      <w:r>
        <w:rPr>
          <w:rFonts w:ascii="Arial" w:hAnsi="Arial" w:cs="Arial"/>
        </w:rPr>
        <w:fldChar w:fldCharType="begin"/>
      </w:r>
      <w:r>
        <w:rPr>
          <w:rFonts w:ascii="Arial" w:hAnsi="Arial" w:cs="Arial"/>
        </w:rPr>
        <w:instrText xml:space="preserve"> REF _Ref223352361 \r \h  \* MERGEFORMAT </w:instrText>
      </w:r>
      <w:r>
        <w:rPr>
          <w:rFonts w:ascii="Arial" w:hAnsi="Arial" w:cs="Arial"/>
        </w:rPr>
      </w:r>
      <w:r>
        <w:rPr>
          <w:rFonts w:ascii="Arial" w:hAnsi="Arial" w:cs="Arial"/>
        </w:rPr>
        <w:fldChar w:fldCharType="separate"/>
      </w:r>
      <w:r>
        <w:rPr>
          <w:rFonts w:ascii="Arial" w:hAnsi="Arial" w:cs="Arial"/>
        </w:rPr>
        <w:t>29</w:t>
      </w:r>
      <w:r>
        <w:rPr>
          <w:rFonts w:ascii="Arial" w:hAnsi="Arial" w:cs="Arial"/>
        </w:rPr>
        <w:fldChar w:fldCharType="end"/>
      </w:r>
      <w:r>
        <w:rPr>
          <w:rFonts w:ascii="Arial" w:hAnsi="Arial" w:cs="Arial"/>
        </w:rPr>
        <w:t xml:space="preserve"> této Smlouvy nebo zálohy Nových webových stránek dle odst. </w:t>
      </w:r>
      <w:r>
        <w:rPr>
          <w:rFonts w:ascii="Arial" w:hAnsi="Arial" w:cs="Arial"/>
        </w:rPr>
        <w:fldChar w:fldCharType="begin"/>
      </w:r>
      <w:r>
        <w:rPr>
          <w:rFonts w:ascii="Arial" w:hAnsi="Arial" w:cs="Arial"/>
        </w:rPr>
        <w:instrText xml:space="preserve"> REF _Ref223468416 \r \h  \* MERGEFORMAT </w:instrText>
      </w:r>
      <w:r>
        <w:rPr>
          <w:rFonts w:ascii="Arial" w:hAnsi="Arial" w:cs="Arial"/>
        </w:rPr>
      </w:r>
      <w:r>
        <w:rPr>
          <w:rFonts w:ascii="Arial" w:hAnsi="Arial" w:cs="Arial"/>
        </w:rPr>
        <w:fldChar w:fldCharType="separate"/>
      </w:r>
      <w:r>
        <w:rPr>
          <w:rFonts w:ascii="Arial" w:hAnsi="Arial" w:cs="Arial"/>
        </w:rPr>
        <w:t>33</w:t>
      </w:r>
      <w:r>
        <w:rPr>
          <w:rFonts w:ascii="Arial" w:hAnsi="Arial" w:cs="Arial"/>
        </w:rPr>
        <w:fldChar w:fldCharType="end"/>
      </w:r>
      <w:r>
        <w:rPr>
          <w:rFonts w:ascii="Arial" w:hAnsi="Arial" w:cs="Arial"/>
        </w:rPr>
        <w:t xml:space="preserve">  této Smlouvy se Dodavatel zavazuje zaplatit Objednateli smluvní pokutu ve výši 1.000 Kč za každý i započatý den prodlení.</w:t>
      </w:r>
    </w:p>
    <w:p>
      <w:pPr>
        <w:numPr>
          <w:ilvl w:val="0"/>
          <w:numId w:val="1"/>
        </w:numPr>
        <w:suppressAutoHyphens w:val="0"/>
        <w:spacing w:before="240" w:after="240" w:line="276" w:lineRule="auto"/>
        <w:jc w:val="both"/>
        <w:rPr>
          <w:rFonts w:ascii="Arial" w:hAnsi="Arial" w:cs="Arial"/>
        </w:rPr>
      </w:pPr>
      <w:r>
        <w:rPr>
          <w:rFonts w:ascii="Arial" w:hAnsi="Arial" w:cs="Arial"/>
        </w:rPr>
        <w:t xml:space="preserve">V případě prodlení Dodavatele s předáním zdrojového kódu, dokumentace nebo jiných souvisejících věcí dle čl. </w:t>
      </w:r>
      <w:r>
        <w:rPr>
          <w:rFonts w:ascii="Arial" w:hAnsi="Arial" w:cs="Arial"/>
        </w:rPr>
        <w:fldChar w:fldCharType="begin"/>
      </w:r>
      <w:r>
        <w:rPr>
          <w:rFonts w:ascii="Arial" w:hAnsi="Arial" w:cs="Arial"/>
        </w:rPr>
        <w:instrText xml:space="preserve"> REF _Ref223553916 \r \h  \* MERGEFORMAT </w:instrText>
      </w:r>
      <w:r>
        <w:rPr>
          <w:rFonts w:ascii="Arial" w:hAnsi="Arial" w:cs="Arial"/>
        </w:rPr>
      </w:r>
      <w:r>
        <w:rPr>
          <w:rFonts w:ascii="Arial" w:hAnsi="Arial" w:cs="Arial"/>
        </w:rPr>
        <w:fldChar w:fldCharType="separate"/>
      </w:r>
      <w:r>
        <w:rPr>
          <w:rFonts w:ascii="Arial" w:hAnsi="Arial" w:cs="Arial"/>
        </w:rPr>
        <w:t>XII</w:t>
      </w:r>
      <w:r>
        <w:rPr>
          <w:rFonts w:ascii="Arial" w:hAnsi="Arial" w:cs="Arial"/>
        </w:rPr>
        <w:fldChar w:fldCharType="end"/>
      </w:r>
      <w:r>
        <w:rPr>
          <w:rFonts w:ascii="Arial" w:hAnsi="Arial" w:cs="Arial"/>
        </w:rPr>
        <w:t xml:space="preserve"> se Dodavatel zavazuje zaplatit Objednateli smluvní pokutu ve výši 2.000 Kč za každý i započatý den prodlení.</w:t>
      </w:r>
    </w:p>
    <w:p>
      <w:pPr>
        <w:numPr>
          <w:ilvl w:val="0"/>
          <w:numId w:val="1"/>
        </w:numPr>
        <w:suppressAutoHyphens w:val="0"/>
        <w:spacing w:before="240" w:after="240" w:line="276" w:lineRule="auto"/>
        <w:jc w:val="both"/>
        <w:rPr>
          <w:rFonts w:ascii="Arial" w:hAnsi="Arial" w:cs="Arial"/>
        </w:rPr>
      </w:pPr>
      <w:r>
        <w:rPr>
          <w:rFonts w:ascii="Arial" w:hAnsi="Arial" w:cs="Arial"/>
        </w:rPr>
        <w:t xml:space="preserve">Poruší-li Dodavatel povinnost poskytnout součinnost v rámci Služeb exitu dle čl. </w:t>
      </w:r>
      <w:r>
        <w:rPr>
          <w:rFonts w:ascii="Arial" w:hAnsi="Arial" w:cs="Arial"/>
        </w:rPr>
        <w:fldChar w:fldCharType="begin"/>
      </w:r>
      <w:r>
        <w:rPr>
          <w:rFonts w:ascii="Arial" w:hAnsi="Arial" w:cs="Arial"/>
        </w:rPr>
        <w:instrText xml:space="preserve"> REF _Ref223535280 \r \h </w:instrText>
      </w:r>
      <w:r>
        <w:rPr>
          <w:rFonts w:ascii="Arial" w:hAnsi="Arial" w:cs="Arial"/>
        </w:rPr>
      </w:r>
      <w:r>
        <w:rPr>
          <w:rFonts w:ascii="Arial" w:hAnsi="Arial" w:cs="Arial"/>
        </w:rPr>
        <w:fldChar w:fldCharType="separate"/>
      </w:r>
      <w:r>
        <w:rPr>
          <w:rFonts w:ascii="Arial" w:hAnsi="Arial" w:cs="Arial"/>
        </w:rPr>
        <w:t>XVII</w:t>
      </w:r>
      <w:r>
        <w:rPr>
          <w:rFonts w:ascii="Arial" w:hAnsi="Arial" w:cs="Arial"/>
        </w:rPr>
        <w:fldChar w:fldCharType="end"/>
      </w:r>
      <w:r>
        <w:rPr>
          <w:rFonts w:ascii="Arial" w:hAnsi="Arial" w:cs="Arial"/>
        </w:rPr>
        <w:t xml:space="preserve"> této Smlouvy, zejména neposkytne-li požadovaný export dat, dokumentaci nebo jinou součinnost ve sjednaných lhůtách, je povinen zaplatit Objednateli smluvní pokutu ve výši 10.000 Kč za každý započatý den prodlení. Tato smluvní pokuta se uplatní i po zániku Smlouvy, pokud porušení povinnosti nastalo po jejím skončení nebo přetrvává po jejím skončení.</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Poruší-li Dodavatel při plnění Smlouvy své povinnosti zpracovatele osobních údajů, je povinen uhradit Objednateli smluvní pokutu ve výši </w:t>
      </w:r>
      <w:proofErr w:type="gramStart"/>
      <w:r>
        <w:rPr>
          <w:rFonts w:ascii="Arial" w:hAnsi="Arial" w:cs="Arial"/>
        </w:rPr>
        <w:t>5.000,-</w:t>
      </w:r>
      <w:proofErr w:type="gramEnd"/>
      <w:r>
        <w:rPr>
          <w:rFonts w:ascii="Arial" w:hAnsi="Arial" w:cs="Arial"/>
        </w:rPr>
        <w:t xml:space="preserve"> Kč za každý takový případ porušení, a to i opakovaně.</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Poruší-li Dodavatel některou z povinností ohledně ochrany Důvěrných informací dle této Smlouvy, je povinen uhradit Objednateli smluvní pokutu ve výši </w:t>
      </w:r>
      <w:proofErr w:type="gramStart"/>
      <w:r>
        <w:rPr>
          <w:rFonts w:ascii="Arial" w:hAnsi="Arial" w:cs="Arial"/>
        </w:rPr>
        <w:t>50.000,-</w:t>
      </w:r>
      <w:proofErr w:type="gramEnd"/>
      <w:r>
        <w:rPr>
          <w:rFonts w:ascii="Arial" w:hAnsi="Arial" w:cs="Arial"/>
        </w:rPr>
        <w:t xml:space="preserve"> Kč za každý takový případ porušení, a to i opakovaně. </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V případě porušení povinnosti Dodavatele plnit své závazky dle této Smlouvy prostřednictvím členů Realizačního týmu v rozsahu dle odst. </w:t>
      </w:r>
      <w:r>
        <w:rPr>
          <w:rFonts w:ascii="Arial" w:hAnsi="Arial" w:cs="Arial"/>
        </w:rPr>
        <w:fldChar w:fldCharType="begin"/>
      </w:r>
      <w:r>
        <w:rPr>
          <w:rFonts w:ascii="Arial" w:hAnsi="Arial" w:cs="Arial"/>
        </w:rPr>
        <w:instrText xml:space="preserve"> REF _Ref223554108 \r \h  \* MERGEFORMAT </w:instrText>
      </w:r>
      <w:r>
        <w:rPr>
          <w:rFonts w:ascii="Arial" w:hAnsi="Arial" w:cs="Arial"/>
        </w:rPr>
      </w:r>
      <w:r>
        <w:rPr>
          <w:rFonts w:ascii="Arial" w:hAnsi="Arial" w:cs="Arial"/>
        </w:rPr>
        <w:fldChar w:fldCharType="separate"/>
      </w:r>
      <w:r>
        <w:rPr>
          <w:rFonts w:ascii="Arial" w:hAnsi="Arial" w:cs="Arial"/>
        </w:rPr>
        <w:t>50.1</w:t>
      </w:r>
      <w:r>
        <w:rPr>
          <w:rFonts w:ascii="Arial" w:hAnsi="Arial" w:cs="Arial"/>
        </w:rPr>
        <w:fldChar w:fldCharType="end"/>
      </w:r>
      <w:r>
        <w:rPr>
          <w:rFonts w:ascii="Arial" w:hAnsi="Arial" w:cs="Arial"/>
        </w:rPr>
        <w:t xml:space="preserve">. nebo povinnosti zdržet se plnění svých závazků osobami dle odst. </w:t>
      </w:r>
      <w:r>
        <w:rPr>
          <w:rFonts w:ascii="Arial" w:hAnsi="Arial" w:cs="Arial"/>
        </w:rPr>
        <w:fldChar w:fldCharType="begin"/>
      </w:r>
      <w:r>
        <w:rPr>
          <w:rFonts w:ascii="Arial" w:hAnsi="Arial" w:cs="Arial"/>
        </w:rPr>
        <w:instrText xml:space="preserve"> REF _Ref163726658 \r \h  \* MERGEFORMAT </w:instrText>
      </w:r>
      <w:r>
        <w:rPr>
          <w:rFonts w:ascii="Arial" w:hAnsi="Arial" w:cs="Arial"/>
        </w:rPr>
      </w:r>
      <w:r>
        <w:rPr>
          <w:rFonts w:ascii="Arial" w:hAnsi="Arial" w:cs="Arial"/>
        </w:rPr>
        <w:fldChar w:fldCharType="separate"/>
      </w:r>
      <w:r>
        <w:rPr>
          <w:rFonts w:ascii="Arial" w:hAnsi="Arial" w:cs="Arial"/>
        </w:rPr>
        <w:t>50.5</w:t>
      </w:r>
      <w:r>
        <w:rPr>
          <w:rFonts w:ascii="Arial" w:hAnsi="Arial" w:cs="Arial"/>
        </w:rPr>
        <w:fldChar w:fldCharType="end"/>
      </w:r>
      <w:r>
        <w:rPr>
          <w:rFonts w:ascii="Arial" w:hAnsi="Arial" w:cs="Arial"/>
        </w:rPr>
        <w:t>. se Dodavatel zavazuje zaplatit Objednateli Smluvní pokutu ve výši 10.000 Kč za každý případ porušení této povinnosti. Jde-li o trvající porušení povinnosti, považuje se za jednotlivý případ porušení povinnosti každý i započatý měsíc, kdy takové porušení trvá.</w:t>
      </w:r>
    </w:p>
    <w:p>
      <w:pPr>
        <w:numPr>
          <w:ilvl w:val="0"/>
          <w:numId w:val="1"/>
        </w:numPr>
        <w:suppressAutoHyphens w:val="0"/>
        <w:spacing w:before="240" w:after="240" w:line="276" w:lineRule="auto"/>
        <w:jc w:val="both"/>
        <w:rPr>
          <w:rFonts w:ascii="Arial" w:hAnsi="Arial" w:cs="Arial"/>
        </w:rPr>
      </w:pPr>
      <w:r>
        <w:rPr>
          <w:rFonts w:ascii="Arial" w:hAnsi="Arial" w:cs="Arial"/>
        </w:rPr>
        <w:t xml:space="preserve">Poruší-li Dodavatel povinnost dle této Smlouvy, se kterou není spojena žádná zvláštní povinnost uhradit smluvní pokutu, je Dodavatel povinen uhradit smluvní pokutu ve výši </w:t>
      </w:r>
      <w:proofErr w:type="gramStart"/>
      <w:r>
        <w:rPr>
          <w:rFonts w:ascii="Arial" w:hAnsi="Arial" w:cs="Arial"/>
        </w:rPr>
        <w:t>1.000,-</w:t>
      </w:r>
      <w:proofErr w:type="gramEnd"/>
      <w:r>
        <w:rPr>
          <w:rFonts w:ascii="Arial" w:hAnsi="Arial" w:cs="Arial"/>
        </w:rPr>
        <w:t xml:space="preserve"> Kč za každé takové porušení povinnosti, a to i opakovaně.</w:t>
      </w:r>
    </w:p>
    <w:p>
      <w:pPr>
        <w:numPr>
          <w:ilvl w:val="0"/>
          <w:numId w:val="1"/>
        </w:numPr>
        <w:suppressAutoHyphens w:val="0"/>
        <w:spacing w:before="240" w:after="240" w:line="276" w:lineRule="auto"/>
        <w:jc w:val="both"/>
        <w:rPr>
          <w:rFonts w:ascii="Arial" w:hAnsi="Arial" w:cs="Arial"/>
        </w:rPr>
      </w:pPr>
      <w:r>
        <w:rPr>
          <w:rFonts w:ascii="Arial" w:hAnsi="Arial" w:cs="Arial"/>
        </w:rPr>
        <w:t>Zaplacení smluvní pokuty nezbavuje Dodavatele povinnosti splnit dluh smluvní pokutou utvrzený a nejsou tím dotčena práva Objednatele z vadného plnění Dodavatele.</w:t>
      </w:r>
    </w:p>
    <w:p>
      <w:pPr>
        <w:numPr>
          <w:ilvl w:val="0"/>
          <w:numId w:val="1"/>
        </w:numPr>
        <w:suppressAutoHyphens w:val="0"/>
        <w:spacing w:before="240" w:after="240" w:line="276" w:lineRule="auto"/>
        <w:jc w:val="both"/>
        <w:rPr>
          <w:rFonts w:ascii="Arial" w:hAnsi="Arial" w:cs="Arial"/>
        </w:rPr>
      </w:pPr>
      <w:r>
        <w:rPr>
          <w:rFonts w:ascii="Arial" w:hAnsi="Arial" w:cs="Arial"/>
        </w:rPr>
        <w:t>Objednatel je oprávněn požadovat náhradu škody a nemajetkové újmy způsobené porušením povinnosti, na kterou se vztahuje smluvní pokuta, v plné výši.</w:t>
      </w:r>
    </w:p>
    <w:p>
      <w:pPr>
        <w:numPr>
          <w:ilvl w:val="0"/>
          <w:numId w:val="1"/>
        </w:numPr>
        <w:suppressAutoHyphens w:val="0"/>
        <w:spacing w:before="240" w:after="240" w:line="276" w:lineRule="auto"/>
        <w:jc w:val="both"/>
        <w:rPr>
          <w:rFonts w:ascii="Arial" w:hAnsi="Arial" w:cs="Arial"/>
        </w:rPr>
      </w:pPr>
      <w:r>
        <w:rPr>
          <w:rFonts w:ascii="Arial" w:hAnsi="Arial" w:cs="Arial"/>
        </w:rPr>
        <w:t xml:space="preserve">Splatnost smluvních pokut dle Smlouvy bude 14 dnů od doručení písemné výzvy k zaplacení smluvní pokuty straně povinné. </w:t>
      </w:r>
    </w:p>
    <w:p>
      <w:pPr>
        <w:numPr>
          <w:ilvl w:val="0"/>
          <w:numId w:val="1"/>
        </w:numPr>
        <w:suppressAutoHyphens w:val="0"/>
        <w:spacing w:before="240" w:after="240" w:line="276" w:lineRule="auto"/>
        <w:jc w:val="both"/>
        <w:rPr>
          <w:rFonts w:ascii="Arial" w:hAnsi="Arial" w:cs="Arial"/>
        </w:rPr>
      </w:pPr>
      <w:r>
        <w:rPr>
          <w:rFonts w:ascii="Arial" w:hAnsi="Arial" w:cs="Arial"/>
        </w:rPr>
        <w:t>Poruší-li Objednatel povinnost uhradit řádně vystavenou fakturu ve sjednané době, je povinen uhradit Dodavateli zákonný úrok z prodlení ve výši dle právních předpisů.</w:t>
      </w:r>
    </w:p>
    <w:p>
      <w:pPr>
        <w:pStyle w:val="Nadpis1"/>
        <w:numPr>
          <w:ilvl w:val="0"/>
          <w:numId w:val="2"/>
        </w:numPr>
        <w:spacing w:line="276" w:lineRule="auto"/>
        <w:ind w:left="851" w:hanging="491"/>
        <w:jc w:val="center"/>
        <w:rPr>
          <w:rFonts w:ascii="Arial" w:hAnsi="Arial" w:cs="Arial"/>
          <w:b/>
          <w:bCs/>
          <w:color w:val="000000" w:themeColor="text1"/>
          <w:sz w:val="22"/>
          <w:szCs w:val="18"/>
        </w:rPr>
      </w:pPr>
      <w:r>
        <w:rPr>
          <w:rFonts w:ascii="Arial" w:hAnsi="Arial" w:cs="Arial"/>
          <w:b/>
          <w:bCs/>
          <w:color w:val="000000" w:themeColor="text1"/>
          <w:sz w:val="22"/>
          <w:szCs w:val="18"/>
        </w:rPr>
        <w:lastRenderedPageBreak/>
        <w:t>UKONČENÍ SMLOUVY</w:t>
      </w:r>
    </w:p>
    <w:p>
      <w:pPr>
        <w:numPr>
          <w:ilvl w:val="0"/>
          <w:numId w:val="1"/>
        </w:numPr>
        <w:suppressAutoHyphens w:val="0"/>
        <w:spacing w:before="240" w:after="240" w:line="276" w:lineRule="auto"/>
        <w:jc w:val="both"/>
        <w:rPr>
          <w:rFonts w:ascii="Arial" w:hAnsi="Arial" w:cs="Arial"/>
        </w:rPr>
      </w:pPr>
      <w:r>
        <w:rPr>
          <w:rFonts w:ascii="Arial" w:hAnsi="Arial" w:cs="Arial"/>
        </w:rPr>
        <w:t xml:space="preserve">Smlouva zaniká dohodou Smluvních stran, odstoupením některé ze Smluvních stran nebo výpovědí některé ze Smluvních stran. </w:t>
      </w:r>
    </w:p>
    <w:p>
      <w:pPr>
        <w:numPr>
          <w:ilvl w:val="0"/>
          <w:numId w:val="1"/>
        </w:numPr>
        <w:suppressAutoHyphens w:val="0"/>
        <w:spacing w:before="240" w:after="240" w:line="276" w:lineRule="auto"/>
        <w:jc w:val="both"/>
        <w:rPr>
          <w:rFonts w:ascii="Arial" w:hAnsi="Arial" w:cs="Arial"/>
        </w:rPr>
      </w:pPr>
      <w:r>
        <w:rPr>
          <w:rFonts w:ascii="Arial" w:hAnsi="Arial" w:cs="Arial"/>
        </w:rPr>
        <w:t xml:space="preserve">Smluvní strany mohou od Smlouvy odstoupit v případě podstatného porušení Smlouvy druhou Smluvní stranou. </w:t>
      </w:r>
    </w:p>
    <w:p>
      <w:pPr>
        <w:pStyle w:val="Odstavecseseznamem"/>
        <w:numPr>
          <w:ilvl w:val="0"/>
          <w:numId w:val="1"/>
        </w:numPr>
        <w:suppressAutoHyphens w:val="0"/>
        <w:spacing w:before="240" w:after="240" w:line="276" w:lineRule="auto"/>
        <w:contextualSpacing w:val="0"/>
        <w:jc w:val="both"/>
        <w:rPr>
          <w:rFonts w:ascii="Arial" w:hAnsi="Arial" w:cs="Arial"/>
        </w:rPr>
      </w:pPr>
      <w:r>
        <w:rPr>
          <w:rFonts w:ascii="Arial" w:hAnsi="Arial" w:cs="Arial"/>
        </w:rPr>
        <w:t>Podstatným porušením Smlouvy ze strany Dodavatele se rozumí zejména:</w:t>
      </w:r>
    </w:p>
    <w:p>
      <w:pPr>
        <w:pStyle w:val="Odstavecseseznamem"/>
        <w:numPr>
          <w:ilvl w:val="1"/>
          <w:numId w:val="1"/>
        </w:numPr>
        <w:tabs>
          <w:tab w:val="clear" w:pos="851"/>
        </w:tabs>
        <w:suppressAutoHyphens w:val="0"/>
        <w:spacing w:before="240" w:after="240" w:line="276" w:lineRule="auto"/>
        <w:ind w:left="1276" w:hanging="709"/>
        <w:contextualSpacing w:val="0"/>
        <w:jc w:val="both"/>
        <w:rPr>
          <w:rFonts w:ascii="Arial" w:hAnsi="Arial" w:cs="Arial"/>
        </w:rPr>
      </w:pPr>
      <w:r>
        <w:rPr>
          <w:rFonts w:ascii="Arial" w:hAnsi="Arial" w:cs="Arial"/>
        </w:rPr>
        <w:t xml:space="preserve">bude-li Dodavatel v prodlení s předáním jakéhokoli plnění o více než </w:t>
      </w:r>
      <w:r>
        <w:rPr>
          <w:rFonts w:ascii="Arial" w:hAnsi="Arial" w:cs="Arial"/>
          <w:lang w:bidi="en-US"/>
        </w:rPr>
        <w:t>30</w:t>
      </w:r>
      <w:r>
        <w:rPr>
          <w:rFonts w:ascii="Arial" w:hAnsi="Arial" w:cs="Arial"/>
        </w:rPr>
        <w:t xml:space="preserve"> dní,</w:t>
      </w:r>
    </w:p>
    <w:p>
      <w:pPr>
        <w:pStyle w:val="Odstavecseseznamem"/>
        <w:numPr>
          <w:ilvl w:val="1"/>
          <w:numId w:val="1"/>
        </w:numPr>
        <w:tabs>
          <w:tab w:val="clear" w:pos="851"/>
        </w:tabs>
        <w:suppressAutoHyphens w:val="0"/>
        <w:spacing w:before="240" w:after="240" w:line="276" w:lineRule="auto"/>
        <w:ind w:left="1276" w:hanging="709"/>
        <w:contextualSpacing w:val="0"/>
        <w:jc w:val="both"/>
        <w:rPr>
          <w:rFonts w:ascii="Arial" w:hAnsi="Arial" w:cs="Arial"/>
        </w:rPr>
      </w:pPr>
      <w:r>
        <w:rPr>
          <w:rFonts w:ascii="Arial" w:hAnsi="Arial" w:cs="Arial"/>
        </w:rPr>
        <w:t>tak závažné nedodržení věcného rozsahu a technických parametrů Předmětu plnění dle této Smlouvy a jejích příloh, které povede k jeho praktické nepoužitelnosti Objednatelem k účelu stanovenému ve Smlouvě nebo účelu obvyklému,</w:t>
      </w:r>
    </w:p>
    <w:p>
      <w:pPr>
        <w:pStyle w:val="Odstavecseseznamem"/>
        <w:numPr>
          <w:ilvl w:val="1"/>
          <w:numId w:val="1"/>
        </w:numPr>
        <w:tabs>
          <w:tab w:val="clear" w:pos="851"/>
        </w:tabs>
        <w:suppressAutoHyphens w:val="0"/>
        <w:spacing w:before="240" w:after="240" w:line="276" w:lineRule="auto"/>
        <w:ind w:left="1276" w:hanging="709"/>
        <w:contextualSpacing w:val="0"/>
        <w:jc w:val="both"/>
        <w:rPr>
          <w:rFonts w:ascii="Arial" w:hAnsi="Arial" w:cs="Arial"/>
        </w:rPr>
      </w:pPr>
      <w:bookmarkStart w:id="103" w:name="_Hlk223708154"/>
      <w:r>
        <w:rPr>
          <w:rFonts w:ascii="Arial" w:hAnsi="Arial" w:cs="Arial"/>
        </w:rPr>
        <w:t xml:space="preserve">bude-li Dodavatel v prodlení </w:t>
      </w:r>
      <w:r>
        <w:rPr>
          <w:rFonts w:ascii="Arial" w:hAnsi="Arial" w:cs="Arial"/>
          <w:color w:val="000000"/>
        </w:rPr>
        <w:t xml:space="preserve">s odstraněním příčiny vzniku </w:t>
      </w:r>
      <w:r>
        <w:rPr>
          <w:rFonts w:ascii="Arial" w:hAnsi="Arial" w:cs="Arial"/>
        </w:rPr>
        <w:t xml:space="preserve">Incidentu úrovně A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_Ref223352189 \r \h  \* MERGEFORMAT </w:instrText>
      </w:r>
      <w:r>
        <w:rPr>
          <w:rFonts w:ascii="Arial" w:hAnsi="Arial" w:cs="Arial"/>
        </w:rPr>
      </w:r>
      <w:r>
        <w:rPr>
          <w:rFonts w:ascii="Arial" w:hAnsi="Arial" w:cs="Arial"/>
        </w:rPr>
        <w:fldChar w:fldCharType="separate"/>
      </w:r>
      <w:r>
        <w:rPr>
          <w:rFonts w:ascii="Arial" w:hAnsi="Arial" w:cs="Arial"/>
        </w:rPr>
        <w:t>30.3</w:t>
      </w:r>
      <w:r>
        <w:rPr>
          <w:rFonts w:ascii="Arial" w:hAnsi="Arial" w:cs="Arial"/>
        </w:rPr>
        <w:fldChar w:fldCharType="end"/>
      </w:r>
      <w:r>
        <w:rPr>
          <w:rFonts w:ascii="Arial" w:hAnsi="Arial" w:cs="Arial"/>
        </w:rPr>
        <w:t xml:space="preserve"> této Smlouvy o více než 48 hodin,</w:t>
      </w:r>
    </w:p>
    <w:p>
      <w:pPr>
        <w:pStyle w:val="Odstavecseseznamem"/>
        <w:numPr>
          <w:ilvl w:val="1"/>
          <w:numId w:val="1"/>
        </w:numPr>
        <w:tabs>
          <w:tab w:val="clear" w:pos="851"/>
        </w:tabs>
        <w:suppressAutoHyphens w:val="0"/>
        <w:spacing w:before="240" w:after="240" w:line="276" w:lineRule="auto"/>
        <w:ind w:left="1276" w:hanging="709"/>
        <w:contextualSpacing w:val="0"/>
        <w:jc w:val="both"/>
        <w:rPr>
          <w:rFonts w:ascii="Arial" w:hAnsi="Arial" w:cs="Arial"/>
        </w:rPr>
      </w:pPr>
      <w:r>
        <w:rPr>
          <w:rFonts w:ascii="Arial" w:hAnsi="Arial" w:cs="Arial"/>
        </w:rPr>
        <w:t xml:space="preserve">bude-li Dodavatel v prodlení </w:t>
      </w:r>
      <w:r>
        <w:rPr>
          <w:rFonts w:ascii="Arial" w:hAnsi="Arial" w:cs="Arial"/>
          <w:color w:val="000000"/>
        </w:rPr>
        <w:t xml:space="preserve">s odstraněním příčiny vzniku </w:t>
      </w:r>
      <w:r>
        <w:rPr>
          <w:rFonts w:ascii="Arial" w:hAnsi="Arial" w:cs="Arial"/>
        </w:rPr>
        <w:t xml:space="preserve">Incidentu úrovně B 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_Ref223352189 \r \h  \* MERGEFORMAT </w:instrText>
      </w:r>
      <w:r>
        <w:rPr>
          <w:rFonts w:ascii="Arial" w:hAnsi="Arial" w:cs="Arial"/>
        </w:rPr>
      </w:r>
      <w:r>
        <w:rPr>
          <w:rFonts w:ascii="Arial" w:hAnsi="Arial" w:cs="Arial"/>
        </w:rPr>
        <w:fldChar w:fldCharType="separate"/>
      </w:r>
      <w:r>
        <w:rPr>
          <w:rFonts w:ascii="Arial" w:hAnsi="Arial" w:cs="Arial"/>
        </w:rPr>
        <w:t>30.3</w:t>
      </w:r>
      <w:r>
        <w:rPr>
          <w:rFonts w:ascii="Arial" w:hAnsi="Arial" w:cs="Arial"/>
        </w:rPr>
        <w:fldChar w:fldCharType="end"/>
      </w:r>
      <w:r>
        <w:rPr>
          <w:rFonts w:ascii="Arial" w:hAnsi="Arial" w:cs="Arial"/>
        </w:rPr>
        <w:t xml:space="preserve"> této Smlouvy o více než 5 dnů,</w:t>
      </w:r>
    </w:p>
    <w:p>
      <w:pPr>
        <w:pStyle w:val="Odstavecseseznamem"/>
        <w:numPr>
          <w:ilvl w:val="1"/>
          <w:numId w:val="1"/>
        </w:numPr>
        <w:tabs>
          <w:tab w:val="clear" w:pos="851"/>
        </w:tabs>
        <w:suppressAutoHyphens w:val="0"/>
        <w:spacing w:before="240" w:after="240" w:line="276" w:lineRule="auto"/>
        <w:ind w:left="1276" w:hanging="709"/>
        <w:contextualSpacing w:val="0"/>
        <w:jc w:val="both"/>
        <w:rPr>
          <w:rFonts w:ascii="Arial" w:hAnsi="Arial" w:cs="Arial"/>
        </w:rPr>
      </w:pPr>
      <w:r>
        <w:rPr>
          <w:rFonts w:ascii="Arial" w:hAnsi="Arial" w:cs="Arial"/>
        </w:rPr>
        <w:t xml:space="preserve">bude-li Dodavatel v prodlení </w:t>
      </w:r>
      <w:r>
        <w:rPr>
          <w:rFonts w:ascii="Arial" w:hAnsi="Arial" w:cs="Arial"/>
          <w:color w:val="000000"/>
        </w:rPr>
        <w:t xml:space="preserve">s odstraněním příčiny vzniku </w:t>
      </w:r>
      <w:r>
        <w:rPr>
          <w:rFonts w:ascii="Arial" w:hAnsi="Arial" w:cs="Arial"/>
        </w:rPr>
        <w:t>Incidentu úrovně C</w:t>
      </w:r>
      <w:r>
        <w:rPr>
          <w:rFonts w:ascii="Arial" w:hAnsi="Arial" w:cs="Arial"/>
          <w:b/>
          <w:bCs/>
        </w:rPr>
        <w:t xml:space="preserve"> </w:t>
      </w:r>
      <w:r>
        <w:rPr>
          <w:rFonts w:ascii="Arial" w:hAnsi="Arial" w:cs="Arial"/>
        </w:rPr>
        <w:t xml:space="preserve">dle </w:t>
      </w:r>
      <w:proofErr w:type="spellStart"/>
      <w:r>
        <w:rPr>
          <w:rFonts w:ascii="Arial" w:hAnsi="Arial" w:cs="Arial"/>
        </w:rPr>
        <w:t>pododst</w:t>
      </w:r>
      <w:proofErr w:type="spellEnd"/>
      <w:r>
        <w:rPr>
          <w:rFonts w:ascii="Arial" w:hAnsi="Arial" w:cs="Arial"/>
        </w:rPr>
        <w:t xml:space="preserve">. </w:t>
      </w:r>
      <w:r>
        <w:rPr>
          <w:rFonts w:ascii="Arial" w:hAnsi="Arial" w:cs="Arial"/>
        </w:rPr>
        <w:fldChar w:fldCharType="begin"/>
      </w:r>
      <w:r>
        <w:rPr>
          <w:rFonts w:ascii="Arial" w:hAnsi="Arial" w:cs="Arial"/>
        </w:rPr>
        <w:instrText xml:space="preserve"> REF _Ref223352189 \r \h  \* MERGEFORMAT </w:instrText>
      </w:r>
      <w:r>
        <w:rPr>
          <w:rFonts w:ascii="Arial" w:hAnsi="Arial" w:cs="Arial"/>
        </w:rPr>
      </w:r>
      <w:r>
        <w:rPr>
          <w:rFonts w:ascii="Arial" w:hAnsi="Arial" w:cs="Arial"/>
        </w:rPr>
        <w:fldChar w:fldCharType="separate"/>
      </w:r>
      <w:r>
        <w:rPr>
          <w:rFonts w:ascii="Arial" w:hAnsi="Arial" w:cs="Arial"/>
        </w:rPr>
        <w:t>30.3</w:t>
      </w:r>
      <w:r>
        <w:rPr>
          <w:rFonts w:ascii="Arial" w:hAnsi="Arial" w:cs="Arial"/>
        </w:rPr>
        <w:fldChar w:fldCharType="end"/>
      </w:r>
      <w:r>
        <w:rPr>
          <w:rFonts w:ascii="Arial" w:hAnsi="Arial" w:cs="Arial"/>
        </w:rPr>
        <w:t xml:space="preserve"> této Smlouvy o více než 30 dnů od lhůty určené Objednatelem,</w:t>
      </w:r>
    </w:p>
    <w:bookmarkEnd w:id="103"/>
    <w:p>
      <w:pPr>
        <w:pStyle w:val="Odstavecseseznamem"/>
        <w:numPr>
          <w:ilvl w:val="1"/>
          <w:numId w:val="1"/>
        </w:numPr>
        <w:tabs>
          <w:tab w:val="clear" w:pos="851"/>
        </w:tabs>
        <w:suppressAutoHyphens w:val="0"/>
        <w:spacing w:before="240" w:after="240" w:line="276" w:lineRule="auto"/>
        <w:ind w:left="1276" w:hanging="709"/>
        <w:contextualSpacing w:val="0"/>
        <w:jc w:val="both"/>
        <w:rPr>
          <w:rFonts w:ascii="Arial" w:hAnsi="Arial" w:cs="Arial"/>
        </w:rPr>
      </w:pPr>
      <w:r>
        <w:rPr>
          <w:rFonts w:ascii="Arial" w:hAnsi="Arial" w:cs="Arial"/>
        </w:rPr>
        <w:t>poruší-li Dodavatel některou z povinností ohledně ochrany Důvěrných informací dle této Smlouvy,</w:t>
      </w:r>
    </w:p>
    <w:p>
      <w:pPr>
        <w:numPr>
          <w:ilvl w:val="1"/>
          <w:numId w:val="1"/>
        </w:numPr>
        <w:tabs>
          <w:tab w:val="clear" w:pos="851"/>
          <w:tab w:val="num" w:pos="1276"/>
        </w:tabs>
        <w:suppressAutoHyphens w:val="0"/>
        <w:spacing w:before="240" w:after="240" w:line="276" w:lineRule="auto"/>
        <w:ind w:left="1276" w:hanging="709"/>
        <w:jc w:val="both"/>
        <w:rPr>
          <w:rFonts w:ascii="Arial" w:hAnsi="Arial" w:cs="Arial"/>
        </w:rPr>
      </w:pPr>
      <w:r>
        <w:rPr>
          <w:rFonts w:ascii="Arial" w:eastAsia="Calibri" w:hAnsi="Arial" w:cs="Arial"/>
        </w:rPr>
        <w:t xml:space="preserve">v případě, že Dodavatel v Nabídce dodavatele uvedl informace nebo předložil doklady nebo vzorky, které neodpovídají skutečnosti a měly nebo mohly mít vliv na </w:t>
      </w:r>
      <w:r>
        <w:rPr>
          <w:rFonts w:ascii="Arial" w:hAnsi="Arial" w:cs="Arial"/>
        </w:rPr>
        <w:t>výběr Dodavatele ke splnění Veřejné zakázky,</w:t>
      </w:r>
    </w:p>
    <w:p>
      <w:pPr>
        <w:numPr>
          <w:ilvl w:val="1"/>
          <w:numId w:val="1"/>
        </w:numPr>
        <w:tabs>
          <w:tab w:val="clear" w:pos="851"/>
          <w:tab w:val="num" w:pos="1276"/>
        </w:tabs>
        <w:suppressAutoHyphens w:val="0"/>
        <w:spacing w:before="240" w:after="240" w:line="276" w:lineRule="auto"/>
        <w:ind w:left="1276" w:hanging="709"/>
        <w:jc w:val="both"/>
        <w:rPr>
          <w:rFonts w:ascii="Arial" w:hAnsi="Arial" w:cs="Arial"/>
        </w:rPr>
      </w:pPr>
      <w:r>
        <w:rPr>
          <w:rFonts w:ascii="Arial" w:hAnsi="Arial" w:cs="Arial"/>
        </w:rPr>
        <w:t xml:space="preserve">ukáže-li se jako nepravdivé jakékoliv prohlášení Dodavatele uvedené v čl. </w:t>
      </w:r>
      <w:r>
        <w:rPr>
          <w:rFonts w:ascii="Arial" w:hAnsi="Arial" w:cs="Arial"/>
        </w:rPr>
        <w:fldChar w:fldCharType="begin"/>
      </w:r>
      <w:r>
        <w:rPr>
          <w:rFonts w:ascii="Arial" w:hAnsi="Arial" w:cs="Arial"/>
        </w:rPr>
        <w:instrText xml:space="preserve"> REF _Ref163815948 \r \h  \* MERGEFORMAT </w:instrText>
      </w:r>
      <w:r>
        <w:rPr>
          <w:rFonts w:ascii="Arial" w:hAnsi="Arial" w:cs="Arial"/>
        </w:rPr>
      </w:r>
      <w:r>
        <w:rPr>
          <w:rFonts w:ascii="Arial" w:hAnsi="Arial" w:cs="Arial"/>
        </w:rPr>
        <w:fldChar w:fldCharType="separate"/>
      </w:r>
      <w:r>
        <w:rPr>
          <w:rFonts w:ascii="Arial" w:hAnsi="Arial" w:cs="Arial"/>
        </w:rPr>
        <w:t>XIX</w:t>
      </w:r>
      <w:r>
        <w:rPr>
          <w:rFonts w:ascii="Arial" w:hAnsi="Arial" w:cs="Arial"/>
        </w:rPr>
        <w:fldChar w:fldCharType="end"/>
      </w:r>
      <w:r>
        <w:rPr>
          <w:rFonts w:ascii="Arial" w:hAnsi="Arial" w:cs="Arial"/>
        </w:rPr>
        <w:t xml:space="preserve"> Smlouvy,</w:t>
      </w:r>
    </w:p>
    <w:p>
      <w:pPr>
        <w:numPr>
          <w:ilvl w:val="1"/>
          <w:numId w:val="1"/>
        </w:numPr>
        <w:tabs>
          <w:tab w:val="clear" w:pos="851"/>
          <w:tab w:val="num" w:pos="1276"/>
        </w:tabs>
        <w:suppressAutoHyphens w:val="0"/>
        <w:spacing w:before="240" w:after="240" w:line="276" w:lineRule="auto"/>
        <w:ind w:left="1276" w:hanging="709"/>
        <w:jc w:val="both"/>
        <w:rPr>
          <w:rFonts w:ascii="Arial" w:hAnsi="Arial" w:cs="Arial"/>
        </w:rPr>
      </w:pPr>
      <w:r>
        <w:rPr>
          <w:rFonts w:ascii="Arial" w:hAnsi="Arial" w:cs="Arial"/>
        </w:rPr>
        <w:t xml:space="preserve">v případě nepodstatného porušení Smlouvy Dodavatelem </w:t>
      </w:r>
      <w:r>
        <w:rPr>
          <w:rStyle w:val="Nadpis2CharChar"/>
          <w:rFonts w:ascii="Arial" w:eastAsia="Calibri" w:hAnsi="Arial" w:cs="Arial"/>
          <w:sz w:val="22"/>
        </w:rPr>
        <w:t>za předpokladu, že Objednatel Dodavatele na porušení Smlouvy písemně upozornil</w:t>
      </w:r>
      <w:r>
        <w:rPr>
          <w:rFonts w:ascii="Arial" w:hAnsi="Arial" w:cs="Arial"/>
        </w:rPr>
        <w:t>, vyzval ke zjednání nápravy a Dodavatel nezjednal nápravu ani v přiměřené lhůtě, právo Objednatele odstoupit od Smlouvy dle tohoto bodu zaniká, pokud oznámení   odstoupení od Smlouvy nedoručí Dodavateli ve lhůtě 14 dnů poté, co marně uplynula přiměřená lhůta pro zjednání nápravy,</w:t>
      </w:r>
    </w:p>
    <w:p>
      <w:pPr>
        <w:numPr>
          <w:ilvl w:val="1"/>
          <w:numId w:val="1"/>
        </w:numPr>
        <w:tabs>
          <w:tab w:val="clear" w:pos="851"/>
          <w:tab w:val="num" w:pos="1276"/>
        </w:tabs>
        <w:suppressAutoHyphens w:val="0"/>
        <w:spacing w:before="240" w:after="240" w:line="276" w:lineRule="auto"/>
        <w:ind w:left="1276" w:hanging="709"/>
        <w:jc w:val="both"/>
        <w:rPr>
          <w:rFonts w:ascii="Arial" w:hAnsi="Arial" w:cs="Arial"/>
        </w:rPr>
      </w:pPr>
      <w:r>
        <w:rPr>
          <w:rFonts w:ascii="Arial" w:hAnsi="Arial" w:cs="Arial"/>
        </w:rPr>
        <w:t xml:space="preserve">jakékoli další porušení Smlouvy, které tato Smlouva označuje za podstatné. </w:t>
      </w:r>
    </w:p>
    <w:p>
      <w:pPr>
        <w:numPr>
          <w:ilvl w:val="0"/>
          <w:numId w:val="1"/>
        </w:numPr>
        <w:suppressAutoHyphens w:val="0"/>
        <w:spacing w:before="240" w:after="240" w:line="276" w:lineRule="auto"/>
        <w:jc w:val="both"/>
        <w:rPr>
          <w:rFonts w:ascii="Arial" w:hAnsi="Arial" w:cs="Arial"/>
        </w:rPr>
      </w:pPr>
      <w:r>
        <w:rPr>
          <w:rFonts w:ascii="Arial" w:hAnsi="Arial" w:cs="Arial"/>
        </w:rPr>
        <w:t>Podstatným porušením Smlouvy ze strany Objednatele se rozumí zejména:</w:t>
      </w:r>
    </w:p>
    <w:p>
      <w:pPr>
        <w:numPr>
          <w:ilvl w:val="1"/>
          <w:numId w:val="1"/>
        </w:numPr>
        <w:suppressAutoHyphens w:val="0"/>
        <w:spacing w:before="240" w:after="240" w:line="276" w:lineRule="auto"/>
        <w:ind w:left="1276" w:hanging="709"/>
        <w:jc w:val="both"/>
        <w:rPr>
          <w:rFonts w:ascii="Arial" w:hAnsi="Arial" w:cs="Arial"/>
        </w:rPr>
      </w:pPr>
      <w:r>
        <w:rPr>
          <w:rFonts w:ascii="Arial" w:hAnsi="Arial" w:cs="Arial"/>
        </w:rPr>
        <w:t>prodlení s úhradou řádně vystavené faktury o více než 30 dnů, pokud Objednatel nezjedná nápravu ani do 10 dnů od doručení písemného oznámení Dodavatele o takovém prodlení se žádostí o jeho nápravu.</w:t>
      </w:r>
    </w:p>
    <w:p>
      <w:pPr>
        <w:numPr>
          <w:ilvl w:val="0"/>
          <w:numId w:val="1"/>
        </w:numPr>
        <w:suppressAutoHyphens w:val="0"/>
        <w:spacing w:before="240" w:after="240" w:line="276" w:lineRule="auto"/>
        <w:jc w:val="both"/>
        <w:rPr>
          <w:rFonts w:ascii="Arial" w:hAnsi="Arial" w:cs="Arial"/>
        </w:rPr>
      </w:pPr>
      <w:r>
        <w:rPr>
          <w:rFonts w:ascii="Arial" w:hAnsi="Arial" w:cs="Arial"/>
        </w:rPr>
        <w:t>Odstoupení od Smlouvy má následující účinky:</w:t>
      </w:r>
    </w:p>
    <w:p>
      <w:pPr>
        <w:numPr>
          <w:ilvl w:val="1"/>
          <w:numId w:val="1"/>
        </w:numPr>
        <w:suppressAutoHyphens w:val="0"/>
        <w:spacing w:before="240" w:after="240" w:line="276" w:lineRule="auto"/>
        <w:ind w:left="1276" w:hanging="709"/>
        <w:jc w:val="both"/>
        <w:rPr>
          <w:rFonts w:ascii="Arial" w:hAnsi="Arial" w:cs="Arial"/>
        </w:rPr>
      </w:pPr>
      <w:r>
        <w:rPr>
          <w:rFonts w:ascii="Arial" w:hAnsi="Arial" w:cs="Arial"/>
          <w:color w:val="000000"/>
          <w:highlight w:val="white"/>
        </w:rPr>
        <w:lastRenderedPageBreak/>
        <w:t xml:space="preserve">Odstupuje-li některá ze Smluvních stran od </w:t>
      </w:r>
      <w:r>
        <w:rPr>
          <w:rFonts w:ascii="Arial" w:hAnsi="Arial" w:cs="Arial"/>
          <w:color w:val="000000"/>
        </w:rPr>
        <w:t xml:space="preserve">této Smlouvy před dokončení a předání části plnění Dodávka, zaniká Smlouva s účinky </w:t>
      </w:r>
      <w:r>
        <w:rPr>
          <w:rFonts w:ascii="Arial" w:hAnsi="Arial" w:cs="Arial"/>
          <w:i/>
          <w:iCs/>
          <w:color w:val="000000"/>
        </w:rPr>
        <w:t xml:space="preserve">ex </w:t>
      </w:r>
      <w:proofErr w:type="spellStart"/>
      <w:r>
        <w:rPr>
          <w:rFonts w:ascii="Arial" w:hAnsi="Arial" w:cs="Arial"/>
          <w:i/>
          <w:iCs/>
          <w:color w:val="000000"/>
        </w:rPr>
        <w:t>tunc</w:t>
      </w:r>
      <w:proofErr w:type="spellEnd"/>
      <w:r>
        <w:rPr>
          <w:rFonts w:ascii="Arial" w:hAnsi="Arial" w:cs="Arial"/>
          <w:color w:val="000000"/>
        </w:rPr>
        <w:t>.</w:t>
      </w:r>
    </w:p>
    <w:p>
      <w:pPr>
        <w:numPr>
          <w:ilvl w:val="1"/>
          <w:numId w:val="1"/>
        </w:numPr>
        <w:suppressAutoHyphens w:val="0"/>
        <w:spacing w:before="240" w:after="240" w:line="276" w:lineRule="auto"/>
        <w:ind w:left="1276" w:hanging="709"/>
        <w:jc w:val="both"/>
        <w:rPr>
          <w:rFonts w:ascii="Arial" w:hAnsi="Arial" w:cs="Arial"/>
        </w:rPr>
      </w:pPr>
      <w:r>
        <w:rPr>
          <w:rFonts w:ascii="Arial" w:hAnsi="Arial" w:cs="Arial"/>
          <w:color w:val="000000"/>
        </w:rPr>
        <w:t xml:space="preserve">Odstoupí-li Objednatel od této Smlouvy před ukončením části plnění Vývoj, zaniká Smlouva s účinky </w:t>
      </w:r>
      <w:r>
        <w:rPr>
          <w:rFonts w:ascii="Arial" w:hAnsi="Arial" w:cs="Arial"/>
          <w:i/>
          <w:iCs/>
          <w:color w:val="000000"/>
        </w:rPr>
        <w:t xml:space="preserve">ex </w:t>
      </w:r>
      <w:proofErr w:type="spellStart"/>
      <w:r>
        <w:rPr>
          <w:rFonts w:ascii="Arial" w:hAnsi="Arial" w:cs="Arial"/>
          <w:i/>
          <w:iCs/>
          <w:color w:val="000000"/>
        </w:rPr>
        <w:t>tunc</w:t>
      </w:r>
      <w:proofErr w:type="spellEnd"/>
      <w:r>
        <w:rPr>
          <w:rFonts w:ascii="Arial" w:hAnsi="Arial" w:cs="Arial"/>
          <w:color w:val="000000"/>
        </w:rPr>
        <w:t xml:space="preserve"> v případě, že Objednatel vyjádří v odstoupení svoji vůli, aby odstoupení mělo tyto účinky. V opačném případě zaniká Smlouva s účinky </w:t>
      </w:r>
      <w:r>
        <w:rPr>
          <w:rFonts w:ascii="Arial" w:hAnsi="Arial" w:cs="Arial"/>
          <w:i/>
          <w:iCs/>
          <w:color w:val="000000"/>
        </w:rPr>
        <w:t xml:space="preserve">ex </w:t>
      </w:r>
      <w:proofErr w:type="spellStart"/>
      <w:r>
        <w:rPr>
          <w:rFonts w:ascii="Arial" w:hAnsi="Arial" w:cs="Arial"/>
          <w:i/>
          <w:iCs/>
          <w:color w:val="000000"/>
        </w:rPr>
        <w:t>nunc</w:t>
      </w:r>
      <w:proofErr w:type="spellEnd"/>
      <w:r>
        <w:rPr>
          <w:rFonts w:ascii="Arial" w:hAnsi="Arial" w:cs="Arial"/>
          <w:color w:val="000000"/>
        </w:rPr>
        <w:t>.</w:t>
      </w:r>
    </w:p>
    <w:p>
      <w:pPr>
        <w:numPr>
          <w:ilvl w:val="0"/>
          <w:numId w:val="1"/>
        </w:numPr>
        <w:suppressAutoHyphens w:val="0"/>
        <w:spacing w:before="240" w:after="240" w:line="276" w:lineRule="auto"/>
        <w:jc w:val="both"/>
        <w:rPr>
          <w:rFonts w:ascii="Arial" w:hAnsi="Arial" w:cs="Arial"/>
        </w:rPr>
      </w:pPr>
      <w:r>
        <w:rPr>
          <w:rFonts w:ascii="Arial" w:hAnsi="Arial" w:cs="Arial"/>
          <w:color w:val="000000"/>
          <w:highlight w:val="white"/>
        </w:rPr>
        <w:t xml:space="preserve">Při zániku Smlouvy odstoupením jedné ze Smluvních stran s účinky </w:t>
      </w:r>
      <w:r>
        <w:rPr>
          <w:rFonts w:ascii="Arial" w:hAnsi="Arial" w:cs="Arial"/>
          <w:i/>
          <w:iCs/>
          <w:color w:val="000000"/>
          <w:highlight w:val="white"/>
        </w:rPr>
        <w:t xml:space="preserve">ex </w:t>
      </w:r>
      <w:proofErr w:type="spellStart"/>
      <w:r>
        <w:rPr>
          <w:rFonts w:ascii="Arial" w:hAnsi="Arial" w:cs="Arial"/>
          <w:i/>
          <w:iCs/>
          <w:color w:val="000000"/>
          <w:highlight w:val="white"/>
        </w:rPr>
        <w:t>nunc</w:t>
      </w:r>
      <w:proofErr w:type="spellEnd"/>
      <w:r>
        <w:rPr>
          <w:rFonts w:ascii="Arial" w:hAnsi="Arial" w:cs="Arial"/>
          <w:color w:val="000000"/>
          <w:highlight w:val="white"/>
        </w:rPr>
        <w:t xml:space="preserve"> má Dodavatel právo na úplatu za plnění, které bylo řádně a bez vad (ve vztahu k povaze tohoto plnění) poskytnuto před účinností odstoupení. Objednateli v takovém případě náleží poskytnuté plnění</w:t>
      </w:r>
      <w:r>
        <w:rPr>
          <w:rFonts w:ascii="Arial" w:hAnsi="Arial" w:cs="Arial"/>
          <w:color w:val="000000"/>
        </w:rPr>
        <w:t>.</w:t>
      </w:r>
    </w:p>
    <w:p>
      <w:pPr>
        <w:numPr>
          <w:ilvl w:val="0"/>
          <w:numId w:val="1"/>
        </w:numPr>
        <w:suppressAutoHyphens w:val="0"/>
        <w:spacing w:before="240" w:after="240" w:line="276" w:lineRule="auto"/>
        <w:jc w:val="both"/>
        <w:rPr>
          <w:rFonts w:ascii="Arial" w:hAnsi="Arial" w:cs="Arial"/>
        </w:rPr>
      </w:pPr>
      <w:r>
        <w:rPr>
          <w:rFonts w:ascii="Arial" w:hAnsi="Arial" w:cs="Arial"/>
        </w:rPr>
        <w:t>Tuto Smlouvu lze vypovědět pouze za podmínky, že byla řádně dokončena a Objednatelem převzata Část plnění Dodávka a současně došlo k ukončení Části plnění Vývoj v souladu s touto Smlouvou. Každá ze smluvních stran je oprávněna Smlouvu písemně vypovědět s výpovědní dobou v délce 3 měsíců, která počíná běžet prvním dnem kalendářního měsíce následujícího po doručení výpovědi druhé smluvní straně, přičemž po dobu běhu výpovědní doby je Dodavatel povinen řádně poskytovat Část plnění Provoz.</w:t>
      </w:r>
    </w:p>
    <w:p>
      <w:pPr>
        <w:numPr>
          <w:ilvl w:val="0"/>
          <w:numId w:val="1"/>
        </w:numPr>
        <w:suppressAutoHyphens w:val="0"/>
        <w:spacing w:before="240" w:after="240" w:line="276" w:lineRule="auto"/>
        <w:jc w:val="both"/>
        <w:rPr>
          <w:rFonts w:ascii="Arial" w:hAnsi="Arial" w:cs="Arial"/>
        </w:rPr>
      </w:pPr>
      <w:r>
        <w:rPr>
          <w:rFonts w:ascii="Arial" w:hAnsi="Arial" w:cs="Arial"/>
        </w:rPr>
        <w:t>Zánikem této Smlouvy (z jakéhokoliv právního důvodu) není dotčena odpovědnost za újmu, odpovědnost za vady poskytnutých plnění (pokud zánik Smlouvy neznamená povinnost vrátit poskytnuté plnění), nároky na uplatnění smluvních pokut, povinnost ochrany Důvěrných informací a ostatní práva a povinnosti založených touto Smlouvou, která mají podle zákona, této Smlouvy či dle své povahy trvat i po jejím zrušení.</w:t>
      </w:r>
    </w:p>
    <w:p>
      <w:pPr>
        <w:numPr>
          <w:ilvl w:val="0"/>
          <w:numId w:val="1"/>
        </w:numPr>
        <w:suppressAutoHyphens w:val="0"/>
        <w:spacing w:before="240" w:after="240" w:line="276" w:lineRule="auto"/>
        <w:jc w:val="both"/>
        <w:rPr>
          <w:rFonts w:ascii="Arial" w:hAnsi="Arial" w:cs="Arial"/>
        </w:rPr>
      </w:pPr>
      <w:bookmarkStart w:id="104" w:name="_Ref166231418"/>
      <w:r>
        <w:rPr>
          <w:rFonts w:ascii="Arial" w:hAnsi="Arial" w:cs="Arial"/>
        </w:rPr>
        <w:t>V případě zániku závazku je Dodavatel nejpozději ke dni zániku tohoto závazku povinen předat Nové webové stránky či jejich dosud vytvořené části Objednateli nebo jím určené osobě tak, aby Objednatel nebo jím určená osoba mohli Nové webové stránky dále vyvíjet, s Novými webovými stránkami plně disponovat, provozovat a spravovat je a vykonávat k nim veškerá svá oprávnění pro účely, pro které Nové webové stránky byly nebo mají být vytvořeny.</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bookmarkStart w:id="105" w:name="__RefHeading___Toc636_293221212"/>
      <w:bookmarkStart w:id="106" w:name="__RefHeading___Toc638_293221212"/>
      <w:bookmarkStart w:id="107" w:name="_Ref223535280"/>
      <w:bookmarkStart w:id="108" w:name="_Toc73341521"/>
      <w:bookmarkEnd w:id="104"/>
      <w:bookmarkEnd w:id="105"/>
      <w:bookmarkEnd w:id="106"/>
      <w:r>
        <w:rPr>
          <w:rFonts w:ascii="Arial" w:hAnsi="Arial" w:cs="Arial"/>
          <w:b/>
          <w:bCs/>
        </w:rPr>
        <w:t>SLUŽBY EXITU</w:t>
      </w:r>
      <w:bookmarkEnd w:id="107"/>
    </w:p>
    <w:p>
      <w:pPr>
        <w:numPr>
          <w:ilvl w:val="0"/>
          <w:numId w:val="1"/>
        </w:numPr>
        <w:suppressAutoHyphens w:val="0"/>
        <w:spacing w:before="240" w:after="240" w:line="276" w:lineRule="auto"/>
        <w:jc w:val="both"/>
        <w:rPr>
          <w:rFonts w:ascii="Arial" w:hAnsi="Arial" w:cs="Arial"/>
        </w:rPr>
      </w:pPr>
      <w:r>
        <w:rPr>
          <w:rFonts w:ascii="Arial" w:hAnsi="Arial" w:cs="Arial"/>
        </w:rPr>
        <w:t xml:space="preserve">Dodavatel se zavazuje dle pokynů Objednatele poskytnout veškerou potřebnou součinnost, dokumentaci a informace a účastnit se jednání s Objednatelem a třetími osobami za účelem plynulého a řádného převedení poskytování Předmětu plnění či jeho příslušné části nebo podobného či souvisejícího plnění na nového poskytovatele, ke kterému dojde nebo má dojít po skončení účinnosti této Smlouvy nebo v případě předčasného ukončení smlouvy. </w:t>
      </w:r>
    </w:p>
    <w:p>
      <w:pPr>
        <w:numPr>
          <w:ilvl w:val="0"/>
          <w:numId w:val="1"/>
        </w:numPr>
        <w:suppressAutoHyphens w:val="0"/>
        <w:spacing w:before="240" w:after="240" w:line="276" w:lineRule="auto"/>
        <w:jc w:val="both"/>
        <w:rPr>
          <w:rFonts w:ascii="Arial" w:hAnsi="Arial" w:cs="Arial"/>
        </w:rPr>
      </w:pPr>
      <w:r>
        <w:rPr>
          <w:rFonts w:ascii="Arial" w:hAnsi="Arial" w:cs="Arial"/>
        </w:rPr>
        <w:t>Součástí Služeb exitu dle tohoto odstavce je rovněž předání kompletního exportu Nových webových stránek zahrnujícího veškerý obsah, aplikační soubory a databáze nezbytné pro jejich řádné fungování, a to v elektronické podobě umožňující další strojové zpracování dat.</w:t>
      </w:r>
    </w:p>
    <w:p>
      <w:pPr>
        <w:numPr>
          <w:ilvl w:val="0"/>
          <w:numId w:val="1"/>
        </w:numPr>
        <w:suppressAutoHyphens w:val="0"/>
        <w:spacing w:before="240" w:after="240" w:line="276" w:lineRule="auto"/>
        <w:jc w:val="both"/>
        <w:rPr>
          <w:rFonts w:ascii="Arial" w:hAnsi="Arial" w:cs="Arial"/>
        </w:rPr>
      </w:pPr>
      <w:bookmarkStart w:id="109" w:name="_Ref225350573"/>
      <w:r>
        <w:rPr>
          <w:rFonts w:ascii="Arial" w:hAnsi="Arial" w:cs="Arial"/>
        </w:rPr>
        <w:t xml:space="preserve">Za tímto účelem se Dodavatel zavazuje v dostatečném předstihu vypracovat na základě pokynu Objednatele exit plán vymezující veškeré podmínky pro převedení dalšího </w:t>
      </w:r>
      <w:r>
        <w:rPr>
          <w:rFonts w:ascii="Arial" w:hAnsi="Arial" w:cs="Arial"/>
        </w:rPr>
        <w:lastRenderedPageBreak/>
        <w:t>vývoje, provozu a podpory či jiného relevantního plnění na nového poskytovatele (dále jen „</w:t>
      </w:r>
      <w:r>
        <w:rPr>
          <w:rFonts w:ascii="Arial" w:hAnsi="Arial" w:cs="Arial"/>
          <w:b/>
          <w:bCs/>
        </w:rPr>
        <w:t>Exit plán</w:t>
      </w:r>
      <w:r>
        <w:rPr>
          <w:rFonts w:ascii="Arial" w:hAnsi="Arial" w:cs="Arial"/>
        </w:rPr>
        <w:t>“) a poskytnout plnění nezbytná k realizaci tohoto Exit plánu.</w:t>
      </w:r>
      <w:bookmarkEnd w:id="109"/>
      <w:r>
        <w:rPr>
          <w:rFonts w:ascii="Arial" w:hAnsi="Arial" w:cs="Arial"/>
        </w:rPr>
        <w:t xml:space="preserve"> </w:t>
      </w:r>
    </w:p>
    <w:p>
      <w:pPr>
        <w:numPr>
          <w:ilvl w:val="0"/>
          <w:numId w:val="1"/>
        </w:numPr>
        <w:suppressAutoHyphens w:val="0"/>
        <w:spacing w:before="240" w:after="240" w:line="276" w:lineRule="auto"/>
        <w:jc w:val="both"/>
        <w:rPr>
          <w:rFonts w:ascii="Arial" w:hAnsi="Arial" w:cs="Arial"/>
        </w:rPr>
      </w:pPr>
      <w:r>
        <w:rPr>
          <w:rFonts w:ascii="Arial" w:hAnsi="Arial" w:cs="Arial"/>
        </w:rPr>
        <w:t xml:space="preserve">Dodavatel se zavazuje součinnost dle tohoto odstavce a Exit plánu poskytovat s odbornou péčí, zodpovědně a do doby úplného převzetí a inicializace poskytování služeb novým poskytovatelem. Závazek dle tohoto ustanovení platí i po uplynutí doby trvání Smlouvy, a to nejméně 1 rok po jejím ukončení z jakéhokoli důvodu. </w:t>
      </w:r>
    </w:p>
    <w:p>
      <w:pPr>
        <w:numPr>
          <w:ilvl w:val="0"/>
          <w:numId w:val="1"/>
        </w:numPr>
        <w:suppressAutoHyphens w:val="0"/>
        <w:spacing w:before="240" w:after="240" w:line="276" w:lineRule="auto"/>
        <w:jc w:val="both"/>
        <w:rPr>
          <w:rFonts w:ascii="Arial" w:hAnsi="Arial" w:cs="Arial"/>
        </w:rPr>
      </w:pPr>
      <w:r>
        <w:rPr>
          <w:rFonts w:ascii="Arial" w:hAnsi="Arial" w:cs="Arial"/>
        </w:rPr>
        <w:t xml:space="preserve">Objednatel je oprávněn požádat o vypracování Exit plánu kdykoli po odstoupení Objednatele od Smlouvy nebo po odstoupení Dodavatele od Smlouvy. </w:t>
      </w:r>
    </w:p>
    <w:p>
      <w:pPr>
        <w:numPr>
          <w:ilvl w:val="0"/>
          <w:numId w:val="1"/>
        </w:numPr>
        <w:suppressAutoHyphens w:val="0"/>
        <w:spacing w:before="240" w:after="240" w:line="276" w:lineRule="auto"/>
        <w:jc w:val="both"/>
        <w:rPr>
          <w:rFonts w:ascii="Arial" w:hAnsi="Arial" w:cs="Arial"/>
        </w:rPr>
      </w:pPr>
      <w:r>
        <w:rPr>
          <w:rFonts w:ascii="Arial" w:hAnsi="Arial" w:cs="Arial"/>
        </w:rPr>
        <w:t xml:space="preserve">Dodavatel se zavazuje vypracovat Exit plán a poskytnout plnění nezbytná k jeho realizaci do 1 měsíce od doručení takového požadavku Objednatele, nestanoví-li Objednatel jinak. </w:t>
      </w:r>
    </w:p>
    <w:p>
      <w:pPr>
        <w:numPr>
          <w:ilvl w:val="0"/>
          <w:numId w:val="1"/>
        </w:numPr>
        <w:suppressAutoHyphens w:val="0"/>
        <w:spacing w:before="240" w:after="240" w:line="276" w:lineRule="auto"/>
        <w:jc w:val="both"/>
        <w:rPr>
          <w:rFonts w:ascii="Arial" w:hAnsi="Arial" w:cs="Arial"/>
        </w:rPr>
      </w:pPr>
      <w:r>
        <w:rPr>
          <w:rFonts w:ascii="Arial" w:hAnsi="Arial" w:cs="Arial"/>
        </w:rPr>
        <w:t xml:space="preserve">V případě, že dojde k uzavření nové smlouvy týkající se předmětu plnění nebo jakékoli jejich části nebo podobného či souvisejícího plnění s novým poskytovatelem odlišným od Dodavatele, zavazuje se Dodavatel po skončení účinnosti této Smlouvy poskytovat Objednateli nebo jím určeným třetím stranám veškerou součinnost potřebnou pro účely plynulého a řádného poskytování služeb novým poskytovatelem, pokud bude naplnění tohoto cíle záviset na znalostech Dodavatele získaných na základě plnění Smlouvy, a to včetně předání aktuálních verzí aplikačních souborů, databázových struktur, konfiguračních nastavení a dalších technických podkladů nezbytných pro převzetí a další provoz Nových webových stránek. </w:t>
      </w:r>
    </w:p>
    <w:p>
      <w:pPr>
        <w:numPr>
          <w:ilvl w:val="0"/>
          <w:numId w:val="1"/>
        </w:numPr>
        <w:suppressAutoHyphens w:val="0"/>
        <w:spacing w:before="240" w:after="240" w:line="276" w:lineRule="auto"/>
        <w:jc w:val="both"/>
        <w:rPr>
          <w:rFonts w:ascii="Arial" w:hAnsi="Arial" w:cs="Arial"/>
        </w:rPr>
      </w:pPr>
      <w:r>
        <w:rPr>
          <w:rFonts w:ascii="Arial" w:hAnsi="Arial" w:cs="Arial"/>
        </w:rPr>
        <w:t xml:space="preserve">Dodavatel je v rámci Služeb exitu povinen zabezpečit na výzvu Objednatele osobní účast příslušných členů Realizačního týmu na jednáních s Objednatelem či jím určenými třetími stranami, přičemž tato forma součinnosti může být ze strany Objednatele požadována nejdéle do uplynutí 3. kalendářního měsíce po měsíci, ve kterém tato Smlouva zanikla. Po uplynutí lhůty dle předchozí věty bude součinnosti zabezpečována formou e-mailové či telefonické konzultace. Dodavatel se zavazuje tuto součinnost poskytovat s odbornou péčí, bez zbytečného odkladu a zodpovědně, a to minimálně po dobu 1 roku ode dne, ve kterém tato Smlouva zanikla. Dodavatel se zavazuje reagovat na požadavek Objednatele nebo jím určené třetí strany a zahájit poskytování součinnosti dle tohoto odstavce Smlouvy nejpozději do 3 pracovních dnů ode dne doručení takovéhoto požadavku. </w:t>
      </w:r>
    </w:p>
    <w:p>
      <w:pPr>
        <w:numPr>
          <w:ilvl w:val="0"/>
          <w:numId w:val="1"/>
        </w:numPr>
        <w:suppressAutoHyphens w:val="0"/>
        <w:spacing w:before="240" w:after="240" w:line="276" w:lineRule="auto"/>
        <w:jc w:val="both"/>
        <w:rPr>
          <w:rFonts w:ascii="Arial" w:hAnsi="Arial" w:cs="Arial"/>
        </w:rPr>
      </w:pPr>
      <w:r>
        <w:rPr>
          <w:rFonts w:ascii="Arial" w:hAnsi="Arial" w:cs="Arial"/>
        </w:rPr>
        <w:t xml:space="preserve">Pro vyloučení pochybností se uvádí, že se Smluvní strany dohodly, že cena provedení veškerých Služeb exitu je součástí Odměny za Provoz dle odst. </w:t>
      </w:r>
      <w:r>
        <w:rPr>
          <w:rFonts w:ascii="Arial" w:hAnsi="Arial" w:cs="Arial"/>
        </w:rPr>
        <w:fldChar w:fldCharType="begin"/>
      </w:r>
      <w:r>
        <w:rPr>
          <w:rFonts w:ascii="Arial" w:hAnsi="Arial" w:cs="Arial"/>
        </w:rPr>
        <w:instrText xml:space="preserve"> REF _Ref223354915 \r \h  \* MERGEFORMAT </w:instrText>
      </w:r>
      <w:r>
        <w:rPr>
          <w:rFonts w:ascii="Arial" w:hAnsi="Arial" w:cs="Arial"/>
        </w:rPr>
      </w:r>
      <w:r>
        <w:rPr>
          <w:rFonts w:ascii="Arial" w:hAnsi="Arial" w:cs="Arial"/>
        </w:rPr>
        <w:fldChar w:fldCharType="separate"/>
      </w:r>
      <w:r>
        <w:rPr>
          <w:rFonts w:ascii="Arial" w:hAnsi="Arial" w:cs="Arial"/>
        </w:rPr>
        <w:t>65.3</w:t>
      </w:r>
      <w:r>
        <w:rPr>
          <w:rFonts w:ascii="Arial" w:hAnsi="Arial" w:cs="Arial"/>
        </w:rPr>
        <w:fldChar w:fldCharType="end"/>
      </w:r>
      <w:r>
        <w:rPr>
          <w:rFonts w:ascii="Arial" w:hAnsi="Arial" w:cs="Arial"/>
        </w:rPr>
        <w:t xml:space="preserve"> této Smlouvy, přičemž Dodavateli nenáleží nárok na jakékoliv další finanční plnění dle Smlouvy.</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r>
        <w:rPr>
          <w:rFonts w:ascii="Arial" w:hAnsi="Arial" w:cs="Arial"/>
          <w:b/>
          <w:bCs/>
        </w:rPr>
        <w:t xml:space="preserve">OCHRANA INFORMACÍ </w:t>
      </w:r>
    </w:p>
    <w:bookmarkEnd w:id="108"/>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Veškeré skutečnosti obchodního, </w:t>
      </w:r>
      <w:proofErr w:type="spellStart"/>
      <w:r>
        <w:rPr>
          <w:rFonts w:ascii="Arial" w:hAnsi="Arial" w:cs="Arial"/>
        </w:rPr>
        <w:t>knowhow</w:t>
      </w:r>
      <w:proofErr w:type="spellEnd"/>
      <w:r>
        <w:rPr>
          <w:rFonts w:ascii="Arial" w:hAnsi="Arial" w:cs="Arial"/>
        </w:rPr>
        <w:t xml:space="preserve">, technického, průmyslového, projektového, produkčního, distribučního, investičního, finančního, účetního, daňového, právního, smluvního, administrativního, marketingového, pracovně-právního, manažerského nebo strategického charakteru související s Objednatelem, které nejsou běžně dostupné v obchodních kruzích a se kterými se Dodavatel seznámí při sjednávání této Smlouvy nebo při realizaci Předmětu plnění nebo v souvislosti s touto Smlouvou, se považují za </w:t>
      </w:r>
      <w:r>
        <w:rPr>
          <w:rFonts w:ascii="Arial" w:hAnsi="Arial" w:cs="Arial"/>
        </w:rPr>
        <w:lastRenderedPageBreak/>
        <w:t>důvěrné informace, bez ohledu na to, zda tyto skutečnosti tvoří předmět obchodního tajemství (dále jen „</w:t>
      </w:r>
      <w:r>
        <w:rPr>
          <w:rFonts w:ascii="Arial" w:hAnsi="Arial" w:cs="Arial"/>
          <w:b/>
          <w:bCs/>
        </w:rPr>
        <w:t>Důvěrné informace</w:t>
      </w:r>
      <w:r>
        <w:rPr>
          <w:rFonts w:ascii="Arial" w:hAnsi="Arial" w:cs="Arial"/>
        </w:rPr>
        <w:t>“).</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Osobní údaje, které jsou zpracovávány Dodavatelem v rámci plnění této Smlouvy a vůči nimž vystupuje Dodavatel jako zpracovatel, se považují vždy za Důvěrné informace.</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Za Důvěrné informace se nepovažují informace:</w:t>
      </w:r>
    </w:p>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rPr>
        <w:t xml:space="preserve">jež byly nade všechny pochybnosti Dodavateli známé ještě před jejich zpřístupněním Dodavateli Objednatelem, </w:t>
      </w:r>
    </w:p>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rPr>
        <w:t>jež byly nade všechny pochybnosti veřejně známé před tím, než byly poskytnuty Dodavateli v souladu s touto Smlouvou;</w:t>
      </w:r>
    </w:p>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rPr>
        <w:t>které byly označeny Objednatelem jako nedůvěrné;</w:t>
      </w:r>
    </w:p>
    <w:p>
      <w:pPr>
        <w:pStyle w:val="Odstavecseseznamem"/>
        <w:numPr>
          <w:ilvl w:val="1"/>
          <w:numId w:val="1"/>
        </w:numPr>
        <w:spacing w:before="240" w:after="240" w:line="276" w:lineRule="auto"/>
        <w:ind w:left="1276" w:hanging="709"/>
        <w:contextualSpacing w:val="0"/>
        <w:jc w:val="both"/>
        <w:rPr>
          <w:rFonts w:ascii="Arial" w:hAnsi="Arial" w:cs="Arial"/>
        </w:rPr>
      </w:pPr>
      <w:r>
        <w:rPr>
          <w:rFonts w:ascii="Arial" w:hAnsi="Arial" w:cs="Arial"/>
        </w:rPr>
        <w:t>jsou výsledkem postupu, při kterém k nim Dodavatel dospěje nezávisle na Objednateli, a tuto skutečnost je Dodavatel schopný prokázat.</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Za Důvěrné informace se přestávají považovat ty informace, které byly Objednatelem zveřejněny, a to k okamžiku zveřejnění.</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Dodavatel je povinen s Důvěrnými informacemi nakládat tak, aby nedošlo k jejich úniku či zneužití. Dodavatel vyvine největší možné úsilí, jaké po něm lze rozumně požadovat, k zachování důvěrnosti Důvěrných informací a ochraně Důvěrných informaci proti jakémukoli zpřístupnění třetí osobě, jež by bylo v rozporu s touto Smlouvou. Dodavatel se zavazuje zabezpečit, aby všechny osoby, prostřednictvím kterých plní závazky z této Smlouvy, byly k ochraně Důvěrných informací zavázány vůči němu přiměřeně k tomu, jak je on sám zavázán vůči Objednateli.</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Dodavatel se zavazuje, že:</w:t>
      </w:r>
    </w:p>
    <w:p>
      <w:pPr>
        <w:pStyle w:val="Odstavecseseznamem"/>
        <w:numPr>
          <w:ilvl w:val="1"/>
          <w:numId w:val="1"/>
        </w:numPr>
        <w:tabs>
          <w:tab w:val="clear" w:pos="851"/>
        </w:tabs>
        <w:spacing w:before="240" w:after="240" w:line="276" w:lineRule="auto"/>
        <w:ind w:left="1276" w:hanging="709"/>
        <w:contextualSpacing w:val="0"/>
        <w:jc w:val="both"/>
        <w:rPr>
          <w:rFonts w:ascii="Arial" w:hAnsi="Arial" w:cs="Arial"/>
        </w:rPr>
      </w:pPr>
      <w:r>
        <w:rPr>
          <w:rFonts w:ascii="Arial" w:hAnsi="Arial" w:cs="Arial"/>
        </w:rPr>
        <w:t>použije všechny Důvěrné informace výhradně pro účely předpokládané touto Smlouvou, a nikoliv pro účely jiné;</w:t>
      </w:r>
    </w:p>
    <w:p>
      <w:pPr>
        <w:pStyle w:val="Odstavecseseznamem"/>
        <w:numPr>
          <w:ilvl w:val="1"/>
          <w:numId w:val="1"/>
        </w:numPr>
        <w:tabs>
          <w:tab w:val="clear" w:pos="851"/>
        </w:tabs>
        <w:spacing w:before="240" w:after="240" w:line="276" w:lineRule="auto"/>
        <w:ind w:left="1276" w:hanging="709"/>
        <w:contextualSpacing w:val="0"/>
        <w:jc w:val="both"/>
        <w:rPr>
          <w:rFonts w:ascii="Arial" w:hAnsi="Arial" w:cs="Arial"/>
        </w:rPr>
      </w:pPr>
      <w:r>
        <w:rPr>
          <w:rFonts w:ascii="Arial" w:hAnsi="Arial" w:cs="Arial"/>
        </w:rPr>
        <w:t>Důvěrné informace jiným subjektům nesdělí, nezpřístupní, ani nevyužije pro sebe nebo pro jinou osobu, není-li takové nakládání realizací práv a povinností dle této Smlouvy (například zpřístupnění Důvěrných informací v nezbytném rozsahu svým zaměstnancům nebo poddodavatelům, kteří jsou pověřeni plněním této Smlouvy a za tímto účelem jsou oprávněni se s těmito informacemi v nezbytném rozsahu seznámit);</w:t>
      </w:r>
    </w:p>
    <w:p>
      <w:pPr>
        <w:pStyle w:val="Odstavecseseznamem"/>
        <w:numPr>
          <w:ilvl w:val="1"/>
          <w:numId w:val="1"/>
        </w:numPr>
        <w:tabs>
          <w:tab w:val="clear" w:pos="851"/>
        </w:tabs>
        <w:spacing w:before="240" w:after="240" w:line="276" w:lineRule="auto"/>
        <w:ind w:left="1276" w:hanging="709"/>
        <w:contextualSpacing w:val="0"/>
        <w:jc w:val="both"/>
        <w:rPr>
          <w:rFonts w:ascii="Arial" w:hAnsi="Arial" w:cs="Arial"/>
        </w:rPr>
      </w:pPr>
      <w:r>
        <w:rPr>
          <w:rFonts w:ascii="Arial" w:hAnsi="Arial" w:cs="Arial"/>
        </w:rPr>
        <w:t>nepoužije žádnou Důvěrnou informaci pro vlastní finanční či jiný prospěch nebo pro jakýkoli prospěch jakékoli třetí osoby s výjimkou použití Důvěrných informací pro realizaci účelu této Smlouvy.</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Za porušení povinností dle tohoto článku se nepovažuje:</w:t>
      </w:r>
    </w:p>
    <w:p>
      <w:pPr>
        <w:pStyle w:val="Odstavecseseznamem"/>
        <w:numPr>
          <w:ilvl w:val="1"/>
          <w:numId w:val="1"/>
        </w:numPr>
        <w:tabs>
          <w:tab w:val="clear" w:pos="851"/>
        </w:tabs>
        <w:spacing w:before="240" w:after="240" w:line="276" w:lineRule="auto"/>
        <w:ind w:left="1276" w:hanging="709"/>
        <w:contextualSpacing w:val="0"/>
        <w:jc w:val="both"/>
        <w:rPr>
          <w:rFonts w:ascii="Arial" w:hAnsi="Arial" w:cs="Arial"/>
        </w:rPr>
      </w:pPr>
      <w:r>
        <w:rPr>
          <w:rFonts w:ascii="Arial" w:hAnsi="Arial" w:cs="Arial"/>
        </w:rPr>
        <w:t xml:space="preserve">zpřístupnění Důvěrné informace orgánu veřejné moci nebo jinému subjektu, pokud je k tomu Dodavatel povinen dle právních předpisů (s výjimkou povinností </w:t>
      </w:r>
      <w:r>
        <w:rPr>
          <w:rFonts w:ascii="Arial" w:hAnsi="Arial" w:cs="Arial"/>
        </w:rPr>
        <w:lastRenderedPageBreak/>
        <w:t>vyplývajících ze soukromoprávních jednání nebo povinností převzatých Příjemcem informace dobrovolně);</w:t>
      </w:r>
    </w:p>
    <w:p>
      <w:pPr>
        <w:pStyle w:val="Odstavecseseznamem"/>
        <w:numPr>
          <w:ilvl w:val="1"/>
          <w:numId w:val="1"/>
        </w:numPr>
        <w:tabs>
          <w:tab w:val="clear" w:pos="851"/>
        </w:tabs>
        <w:spacing w:before="240" w:after="240" w:line="276" w:lineRule="auto"/>
        <w:ind w:left="1276" w:hanging="709"/>
        <w:contextualSpacing w:val="0"/>
        <w:jc w:val="both"/>
        <w:rPr>
          <w:rFonts w:ascii="Arial" w:hAnsi="Arial" w:cs="Arial"/>
        </w:rPr>
      </w:pPr>
      <w:r>
        <w:rPr>
          <w:rFonts w:ascii="Arial" w:hAnsi="Arial" w:cs="Arial"/>
        </w:rPr>
        <w:t>poskytnutí Důvěrné informace poradci vázanému zákonnou povinností mlčenlivosti (zejm. advokátovi nebo daňovému poradci) za účelem uplatňování nebo ochrany práv Dodavatele.</w:t>
      </w:r>
    </w:p>
    <w:p>
      <w:pPr>
        <w:pStyle w:val="Odstavecseseznamem"/>
        <w:numPr>
          <w:ilvl w:val="0"/>
          <w:numId w:val="1"/>
        </w:numPr>
        <w:spacing w:before="240" w:after="240" w:line="276" w:lineRule="auto"/>
        <w:contextualSpacing w:val="0"/>
        <w:jc w:val="both"/>
        <w:rPr>
          <w:rFonts w:ascii="Arial" w:hAnsi="Arial" w:cs="Arial"/>
        </w:rPr>
      </w:pPr>
      <w:r>
        <w:rPr>
          <w:rFonts w:ascii="Arial" w:hAnsi="Arial" w:cs="Arial"/>
        </w:rPr>
        <w:t xml:space="preserve">Povinnosti týkající se Důvěrných informací trvají bez ohledu na ukončení této Smlouvy, a to alespoň po dobu pěti let od ukončení Smlouvy. </w:t>
      </w:r>
    </w:p>
    <w:p>
      <w:pPr>
        <w:pStyle w:val="Odstavecseseznamem"/>
        <w:numPr>
          <w:ilvl w:val="0"/>
          <w:numId w:val="1"/>
        </w:numPr>
        <w:spacing w:before="240" w:after="240" w:line="276" w:lineRule="auto"/>
        <w:contextualSpacing w:val="0"/>
        <w:jc w:val="both"/>
      </w:pPr>
      <w:r>
        <w:rPr>
          <w:rFonts w:ascii="Arial" w:hAnsi="Arial" w:cs="Arial"/>
        </w:rPr>
        <w:t>Za prokázané porušení ustanovení v tomto článku má druhá Smluvní strana právo požadovat náhradu takto vzniklé škody.</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bookmarkStart w:id="110" w:name="__RefHeading___Toc640_293221212"/>
      <w:bookmarkStart w:id="111" w:name="_Ref163815948"/>
      <w:bookmarkStart w:id="112" w:name="_Toc73341522"/>
      <w:bookmarkEnd w:id="110"/>
      <w:r>
        <w:rPr>
          <w:rFonts w:ascii="Arial" w:hAnsi="Arial" w:cs="Arial"/>
          <w:b/>
          <w:bCs/>
        </w:rPr>
        <w:t xml:space="preserve">KOMUNIKACE SMLUVNÍCH STRAN </w:t>
      </w:r>
    </w:p>
    <w:p>
      <w:pPr>
        <w:numPr>
          <w:ilvl w:val="0"/>
          <w:numId w:val="1"/>
        </w:numPr>
        <w:suppressAutoHyphens w:val="0"/>
        <w:spacing w:before="240" w:after="240" w:line="240" w:lineRule="auto"/>
        <w:jc w:val="both"/>
        <w:rPr>
          <w:rFonts w:ascii="Arial" w:hAnsi="Arial" w:cs="Arial"/>
        </w:rPr>
      </w:pPr>
      <w:r>
        <w:rPr>
          <w:rFonts w:ascii="Arial" w:hAnsi="Arial" w:cs="Arial"/>
        </w:rPr>
        <w:t>Smluvní strany budou při plnění této Smlouvy vzájemně komunikovat zejména prostřednictvím Helpdesku, případně i prostřednictvím e-mailu, osobně nebo telefonicky.</w:t>
      </w:r>
    </w:p>
    <w:p>
      <w:pPr>
        <w:numPr>
          <w:ilvl w:val="0"/>
          <w:numId w:val="1"/>
        </w:numPr>
        <w:suppressAutoHyphens w:val="0"/>
        <w:spacing w:before="240" w:after="240" w:line="240" w:lineRule="auto"/>
        <w:jc w:val="both"/>
        <w:rPr>
          <w:rFonts w:ascii="Arial" w:hAnsi="Arial" w:cs="Arial"/>
        </w:rPr>
      </w:pPr>
      <w:r>
        <w:rPr>
          <w:rFonts w:ascii="Arial" w:hAnsi="Arial" w:cs="Arial"/>
        </w:rPr>
        <w:t>Pro běžnou operativní komunikaci, poskytování součinnosti, zadávání požadavků a předávání informací postačuje komunikace prostřednictvím Helpdesku.</w:t>
      </w:r>
    </w:p>
    <w:p>
      <w:pPr>
        <w:numPr>
          <w:ilvl w:val="0"/>
          <w:numId w:val="1"/>
        </w:numPr>
        <w:suppressAutoHyphens w:val="0"/>
        <w:spacing w:before="240" w:after="240" w:line="240" w:lineRule="auto"/>
        <w:jc w:val="both"/>
        <w:rPr>
          <w:rFonts w:ascii="Arial" w:hAnsi="Arial" w:cs="Arial"/>
        </w:rPr>
      </w:pPr>
      <w:r>
        <w:rPr>
          <w:rFonts w:ascii="Arial" w:hAnsi="Arial" w:cs="Arial"/>
        </w:rPr>
        <w:t>Ústní nebo telefonická komunikace je přípustná, avšak má pouze informativní charakter, pokud z této Smlouvy výslovně nevyplývá jinak. Požaduje-li to některá ze Smluvních stran, bude obsah ústního jednání bez zbytečného odkladu potvrzen e-mailem nebo prostřednictvím Helpdesku.</w:t>
      </w:r>
    </w:p>
    <w:p>
      <w:pPr>
        <w:numPr>
          <w:ilvl w:val="0"/>
          <w:numId w:val="1"/>
        </w:numPr>
        <w:suppressAutoHyphens w:val="0"/>
        <w:spacing w:before="240" w:after="240" w:line="240" w:lineRule="auto"/>
        <w:jc w:val="both"/>
        <w:rPr>
          <w:rFonts w:ascii="Arial" w:hAnsi="Arial" w:cs="Arial"/>
        </w:rPr>
      </w:pPr>
      <w:r>
        <w:rPr>
          <w:rFonts w:ascii="Arial" w:hAnsi="Arial" w:cs="Arial"/>
        </w:rPr>
        <w:t>Komunikace uskutečněná prostřednictvím Helpdesku nebo e-mailu se považuje za písemnou formu.</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r>
        <w:rPr>
          <w:rFonts w:ascii="Arial" w:hAnsi="Arial" w:cs="Arial"/>
          <w:b/>
          <w:bCs/>
        </w:rPr>
        <w:t>OSTATNÍ UJEDNÁNÍ</w:t>
      </w:r>
      <w:bookmarkEnd w:id="111"/>
    </w:p>
    <w:p>
      <w:pPr>
        <w:numPr>
          <w:ilvl w:val="0"/>
          <w:numId w:val="1"/>
        </w:numPr>
        <w:suppressAutoHyphens w:val="0"/>
        <w:spacing w:before="240" w:after="240" w:line="240" w:lineRule="auto"/>
        <w:jc w:val="both"/>
        <w:rPr>
          <w:rFonts w:ascii="Arial" w:hAnsi="Arial" w:cs="Arial"/>
        </w:rPr>
      </w:pPr>
      <w:bookmarkStart w:id="113" w:name="_Ref380406284"/>
      <w:r>
        <w:rPr>
          <w:rFonts w:ascii="Arial" w:hAnsi="Arial" w:cs="Arial"/>
        </w:rPr>
        <w:t>Dodavatel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Dodavatele, a že mu není známo, že by vůči němu takové řízení bylo zahájeno.</w:t>
      </w:r>
      <w:bookmarkEnd w:id="113"/>
    </w:p>
    <w:p>
      <w:pPr>
        <w:numPr>
          <w:ilvl w:val="0"/>
          <w:numId w:val="1"/>
        </w:numPr>
        <w:suppressAutoHyphens w:val="0"/>
        <w:spacing w:before="240" w:after="240" w:line="240" w:lineRule="auto"/>
        <w:jc w:val="both"/>
        <w:rPr>
          <w:rFonts w:ascii="Arial" w:hAnsi="Arial" w:cs="Arial"/>
        </w:rPr>
      </w:pPr>
      <w:r>
        <w:rPr>
          <w:rFonts w:ascii="Arial" w:hAnsi="Arial" w:cs="Arial"/>
        </w:rPr>
        <w:t>Dodavatel na sebe přebírá nebezpečí změny okolností ve smyslu § 1765 občanského zákoníku.</w:t>
      </w:r>
    </w:p>
    <w:p>
      <w:pPr>
        <w:numPr>
          <w:ilvl w:val="0"/>
          <w:numId w:val="1"/>
        </w:numPr>
        <w:suppressAutoHyphens w:val="0"/>
        <w:spacing w:before="240" w:after="240" w:line="240" w:lineRule="auto"/>
        <w:jc w:val="both"/>
        <w:rPr>
          <w:rFonts w:ascii="Arial" w:hAnsi="Arial" w:cs="Arial"/>
        </w:rPr>
      </w:pPr>
      <w:r>
        <w:rPr>
          <w:rFonts w:ascii="Arial" w:hAnsi="Arial" w:cs="Arial"/>
        </w:rPr>
        <w:t xml:space="preserve">Dodavatel si je vědom, že je ve smyslu § 2 písm. e) zákona č. 320/2001 Sb., o finanční kontrole ve veřejné správě a o změně některých zákonů, ve znění pozdějších předpisů, povinen spolupůsobit při výkonu finanční kontroly. </w:t>
      </w:r>
    </w:p>
    <w:p>
      <w:pPr>
        <w:numPr>
          <w:ilvl w:val="0"/>
          <w:numId w:val="1"/>
        </w:numPr>
        <w:suppressAutoHyphens w:val="0"/>
        <w:spacing w:before="240" w:after="240" w:line="240" w:lineRule="auto"/>
        <w:jc w:val="both"/>
        <w:rPr>
          <w:rFonts w:ascii="Arial" w:hAnsi="Arial" w:cs="Arial"/>
        </w:rPr>
      </w:pPr>
      <w:r>
        <w:rPr>
          <w:rFonts w:ascii="Arial" w:hAnsi="Arial" w:cs="Arial"/>
        </w:rPr>
        <w:t>Dodavatel není oprávněn postoupit žádnou svou pohledávku za Objednatelem vyplývající ze Smlouvy nebo vzniklou v souvislosti se Smlouvou.</w:t>
      </w:r>
    </w:p>
    <w:p>
      <w:pPr>
        <w:numPr>
          <w:ilvl w:val="0"/>
          <w:numId w:val="1"/>
        </w:numPr>
        <w:suppressAutoHyphens w:val="0"/>
        <w:spacing w:before="240" w:after="240" w:line="240" w:lineRule="auto"/>
        <w:jc w:val="both"/>
        <w:rPr>
          <w:rFonts w:ascii="Arial" w:hAnsi="Arial" w:cs="Arial"/>
        </w:rPr>
      </w:pPr>
      <w:r>
        <w:rPr>
          <w:rFonts w:ascii="Arial" w:hAnsi="Arial" w:cs="Arial"/>
        </w:rPr>
        <w:t>Dodavatel není oprávněn provést jednostranné započtení žádné své pohledávky za Objednatelem vyplývající ze Smlouvy nebo vzniklé v souvislosti se Smlouvou na jakoukoliv pohledávku Objednatele za Dodavatelem.</w:t>
      </w:r>
    </w:p>
    <w:p>
      <w:pPr>
        <w:numPr>
          <w:ilvl w:val="0"/>
          <w:numId w:val="1"/>
        </w:numPr>
        <w:suppressAutoHyphens w:val="0"/>
        <w:spacing w:before="240" w:after="240" w:line="240" w:lineRule="auto"/>
        <w:jc w:val="both"/>
        <w:rPr>
          <w:rFonts w:ascii="Arial" w:hAnsi="Arial" w:cs="Arial"/>
        </w:rPr>
      </w:pPr>
      <w:r>
        <w:rPr>
          <w:rFonts w:ascii="Arial" w:hAnsi="Arial" w:cs="Arial"/>
        </w:rPr>
        <w:t xml:space="preserve">Objednatel je oprávněn provést jednostranné započtení jakékoliv své splatné i nesplatné pohledávky za Dodavatelem vyplývající ze Smlouvy nebo vzniklé v souvislosti </w:t>
      </w:r>
      <w:r>
        <w:rPr>
          <w:rFonts w:ascii="Arial" w:hAnsi="Arial" w:cs="Arial"/>
        </w:rPr>
        <w:lastRenderedPageBreak/>
        <w:t>se Smlouvou (zejména smluvní pokutu) na splatné i nesplatné pohledávky Dodavatele za Objednatelem.</w:t>
      </w:r>
    </w:p>
    <w:p>
      <w:pPr>
        <w:pStyle w:val="Odstavecseseznamem"/>
        <w:keepNext/>
        <w:numPr>
          <w:ilvl w:val="0"/>
          <w:numId w:val="2"/>
        </w:numPr>
        <w:spacing w:before="240" w:after="240" w:line="276" w:lineRule="auto"/>
        <w:ind w:left="851" w:hanging="494"/>
        <w:contextualSpacing w:val="0"/>
        <w:jc w:val="center"/>
        <w:rPr>
          <w:rFonts w:ascii="Arial" w:hAnsi="Arial" w:cs="Arial"/>
          <w:b/>
          <w:bCs/>
        </w:rPr>
      </w:pPr>
      <w:r>
        <w:rPr>
          <w:rFonts w:ascii="Arial" w:hAnsi="Arial" w:cs="Arial"/>
          <w:b/>
          <w:bCs/>
        </w:rPr>
        <w:t xml:space="preserve">ZÁVEREČNÁ UJEDNÁNÍ </w:t>
      </w:r>
    </w:p>
    <w:p>
      <w:pPr>
        <w:numPr>
          <w:ilvl w:val="0"/>
          <w:numId w:val="1"/>
        </w:numPr>
        <w:suppressAutoHyphens w:val="0"/>
        <w:spacing w:before="240" w:after="240" w:line="276" w:lineRule="auto"/>
        <w:jc w:val="both"/>
        <w:rPr>
          <w:rFonts w:ascii="Arial" w:hAnsi="Arial" w:cs="Arial"/>
        </w:rPr>
      </w:pPr>
      <w:r>
        <w:rPr>
          <w:rFonts w:ascii="Arial" w:hAnsi="Arial" w:cs="Arial"/>
        </w:rPr>
        <w:t>Veškerá práva a povinnosti Smluvních stran vyplývající ze Smlouvy se řídí českým právním řádem. Smluvní strany se dohodly, že ustanovení právních předpisů, která nemají donucující účinky, mají přednost před obchodními zvyklostmi, pokud Smlouva nestanoví jinak.</w:t>
      </w:r>
    </w:p>
    <w:p>
      <w:pPr>
        <w:numPr>
          <w:ilvl w:val="0"/>
          <w:numId w:val="1"/>
        </w:numPr>
        <w:suppressAutoHyphens w:val="0"/>
        <w:spacing w:before="240" w:after="240" w:line="276" w:lineRule="auto"/>
        <w:jc w:val="both"/>
        <w:rPr>
          <w:rFonts w:ascii="Arial" w:hAnsi="Arial" w:cs="Arial"/>
        </w:rPr>
      </w:pPr>
      <w:r>
        <w:rPr>
          <w:rFonts w:ascii="Arial" w:hAnsi="Arial" w:cs="Arial"/>
        </w:rPr>
        <w:t>Všechny spory vznikající ze Smlouvy a v souvislosti s ní budou dle vůle Smluvních stran rozhodovány soudy České republiky, jakožto soudy výlučně příslušnými.</w:t>
      </w:r>
    </w:p>
    <w:p>
      <w:pPr>
        <w:numPr>
          <w:ilvl w:val="0"/>
          <w:numId w:val="1"/>
        </w:numPr>
        <w:suppressAutoHyphens w:val="0"/>
        <w:spacing w:before="240" w:after="240" w:line="276" w:lineRule="auto"/>
        <w:jc w:val="both"/>
        <w:rPr>
          <w:rFonts w:ascii="Arial" w:hAnsi="Arial" w:cs="Arial"/>
        </w:rPr>
      </w:pPr>
      <w:r>
        <w:rPr>
          <w:rFonts w:ascii="Arial" w:hAnsi="Arial" w:cs="Arial"/>
        </w:rPr>
        <w:t xml:space="preserve">Smlouvu lze měnit pouze písemnými dodatky. Jakékoli změny Smlouvy učiněné </w:t>
      </w:r>
      <w:proofErr w:type="gramStart"/>
      <w:r>
        <w:rPr>
          <w:rFonts w:ascii="Arial" w:hAnsi="Arial" w:cs="Arial"/>
        </w:rPr>
        <w:t>jinou</w:t>
      </w:r>
      <w:proofErr w:type="gramEnd"/>
      <w:r>
        <w:rPr>
          <w:rFonts w:ascii="Arial" w:hAnsi="Arial" w:cs="Arial"/>
        </w:rPr>
        <w:t xml:space="preserve"> než písemnou formou jsou vyloučeny.</w:t>
      </w:r>
    </w:p>
    <w:p>
      <w:pPr>
        <w:numPr>
          <w:ilvl w:val="0"/>
          <w:numId w:val="1"/>
        </w:numPr>
        <w:suppressAutoHyphens w:val="0"/>
        <w:spacing w:before="240" w:after="240" w:line="276" w:lineRule="auto"/>
        <w:jc w:val="both"/>
        <w:rPr>
          <w:rFonts w:ascii="Arial" w:hAnsi="Arial" w:cs="Arial"/>
        </w:rPr>
      </w:pPr>
      <w:r>
        <w:rPr>
          <w:rFonts w:ascii="Arial" w:hAnsi="Arial" w:cs="Arial"/>
        </w:rPr>
        <w:t>Smlouva je sepsána ve dvou vyhotoveních, po jednom pro každou Smluvní stranu. V případě, že je Smlouva uzavírána elektronicky za využití uznávaných elektronických podpisů, postačí jedno vyhotovení Smlouvy, na kterém jsou zaznamenány uznávané elektronické podpisy zástupců Smluvních stran.</w:t>
      </w:r>
    </w:p>
    <w:p>
      <w:pPr>
        <w:numPr>
          <w:ilvl w:val="0"/>
          <w:numId w:val="1"/>
        </w:numPr>
        <w:suppressAutoHyphens w:val="0"/>
        <w:spacing w:before="240" w:after="240" w:line="276" w:lineRule="auto"/>
        <w:jc w:val="both"/>
        <w:rPr>
          <w:rFonts w:ascii="Arial" w:hAnsi="Arial" w:cs="Arial"/>
        </w:rPr>
      </w:pPr>
      <w:r>
        <w:rPr>
          <w:rFonts w:ascii="Arial" w:hAnsi="Arial" w:cs="Arial"/>
        </w:rPr>
        <w:t xml:space="preserve">Smlouva nabývá účinnosti dnem jejího uveřejnění v registru smluv. Smlouvu uveřejní v registru smluv Objednatel. </w:t>
      </w:r>
    </w:p>
    <w:p>
      <w:pPr>
        <w:pStyle w:val="Zkladntext"/>
        <w:keepNext/>
        <w:spacing w:before="240" w:after="240" w:line="240" w:lineRule="auto"/>
        <w:ind w:left="181"/>
        <w:jc w:val="center"/>
        <w:rPr>
          <w:rFonts w:ascii="Arial" w:hAnsi="Arial" w:cs="Arial"/>
          <w:b/>
        </w:rPr>
      </w:pPr>
      <w:r>
        <w:rPr>
          <w:rFonts w:ascii="Arial" w:hAnsi="Arial" w:cs="Arial"/>
          <w:b/>
        </w:rPr>
        <w:t>Doložka</w:t>
      </w:r>
    </w:p>
    <w:p>
      <w:pPr>
        <w:pStyle w:val="Zhlav"/>
        <w:keepNext/>
        <w:spacing w:before="240" w:after="240"/>
        <w:ind w:left="180"/>
        <w:jc w:val="both"/>
        <w:rPr>
          <w:rFonts w:ascii="Arial" w:hAnsi="Arial" w:cs="Arial"/>
          <w:strike/>
        </w:rPr>
      </w:pPr>
      <w:r>
        <w:rPr>
          <w:rFonts w:ascii="Arial" w:hAnsi="Arial" w:cs="Arial"/>
        </w:rPr>
        <w:t>Tato Smlouva byla uzavřena v souladu se Směrnicí č. 1/2025, o zadávání veřejných zakázek, schválenou Radou města Žďár nad Sázavou usnesením č. 3720/2025/SRI/RM dne 21.07.2025.</w:t>
      </w:r>
    </w:p>
    <w:bookmarkEnd w:id="112"/>
    <w:p>
      <w:pPr>
        <w:keepNext/>
        <w:spacing w:before="240" w:after="240" w:line="240" w:lineRule="auto"/>
        <w:jc w:val="both"/>
        <w:rPr>
          <w:rFonts w:ascii="Arial" w:hAnsi="Arial" w:cs="Arial"/>
          <w:b/>
        </w:rPr>
      </w:pPr>
      <w:r>
        <w:rPr>
          <w:rFonts w:ascii="Arial" w:hAnsi="Arial" w:cs="Arial"/>
          <w:b/>
        </w:rPr>
        <w:t>Přílohy</w:t>
      </w:r>
    </w:p>
    <w:p>
      <w:pPr>
        <w:pStyle w:val="Odstavecseseznamem"/>
        <w:keepNext/>
        <w:numPr>
          <w:ilvl w:val="0"/>
          <w:numId w:val="4"/>
        </w:numPr>
        <w:suppressAutoHyphens w:val="0"/>
        <w:spacing w:before="240" w:after="240" w:line="240" w:lineRule="auto"/>
        <w:ind w:left="567" w:hanging="567"/>
        <w:jc w:val="both"/>
        <w:rPr>
          <w:rFonts w:ascii="Arial" w:hAnsi="Arial" w:cs="Arial"/>
        </w:rPr>
      </w:pPr>
      <w:bookmarkStart w:id="114" w:name="_Ref383095347"/>
      <w:bookmarkStart w:id="115" w:name="_Ref434937885"/>
      <w:r>
        <w:rPr>
          <w:rFonts w:ascii="Arial" w:hAnsi="Arial" w:cs="Arial"/>
        </w:rPr>
        <w:t xml:space="preserve">příloha č. </w:t>
      </w:r>
      <w:r>
        <w:rPr>
          <w:rFonts w:ascii="Arial" w:hAnsi="Arial" w:cs="Arial"/>
        </w:rPr>
        <w:fldChar w:fldCharType="begin"/>
      </w:r>
      <w:r>
        <w:rPr>
          <w:rFonts w:ascii="Arial" w:hAnsi="Arial" w:cs="Arial"/>
        </w:rPr>
        <w:instrText xml:space="preserve"> REF _Ref383095347 \r \h  \* MERGEFORMAT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r>
        <w:rPr>
          <w:rFonts w:ascii="Arial" w:hAnsi="Arial" w:cs="Arial"/>
        </w:rPr>
        <w:tab/>
      </w:r>
      <w:bookmarkStart w:id="116" w:name="_Ref434937891"/>
      <w:bookmarkEnd w:id="114"/>
      <w:bookmarkEnd w:id="115"/>
      <w:r>
        <w:rPr>
          <w:rFonts w:ascii="Arial" w:hAnsi="Arial" w:cs="Arial"/>
        </w:rPr>
        <w:t xml:space="preserve">Technická specifikace </w:t>
      </w:r>
    </w:p>
    <w:p>
      <w:pPr>
        <w:pStyle w:val="Odstavecseseznamem"/>
        <w:keepNext/>
        <w:numPr>
          <w:ilvl w:val="0"/>
          <w:numId w:val="4"/>
        </w:numPr>
        <w:suppressAutoHyphens w:val="0"/>
        <w:spacing w:before="240" w:after="240" w:line="240" w:lineRule="auto"/>
        <w:ind w:left="567" w:hanging="567"/>
        <w:jc w:val="both"/>
        <w:rPr>
          <w:rFonts w:ascii="Arial" w:hAnsi="Arial" w:cs="Arial"/>
        </w:rPr>
      </w:pPr>
      <w:bookmarkStart w:id="117" w:name="_Ref163735884"/>
      <w:r>
        <w:rPr>
          <w:rFonts w:ascii="Arial" w:hAnsi="Arial" w:cs="Arial"/>
        </w:rPr>
        <w:t>příloha č. 2:</w:t>
      </w:r>
      <w:r>
        <w:rPr>
          <w:rFonts w:ascii="Arial" w:hAnsi="Arial" w:cs="Arial"/>
        </w:rPr>
        <w:tab/>
      </w:r>
      <w:bookmarkEnd w:id="117"/>
      <w:r>
        <w:rPr>
          <w:rFonts w:ascii="Arial" w:hAnsi="Arial" w:cs="Arial"/>
        </w:rPr>
        <w:t>Cenová kalkulace</w:t>
      </w:r>
    </w:p>
    <w:p>
      <w:pPr>
        <w:pStyle w:val="Odstavecseseznamem"/>
        <w:keepNext/>
        <w:numPr>
          <w:ilvl w:val="0"/>
          <w:numId w:val="4"/>
        </w:numPr>
        <w:suppressAutoHyphens w:val="0"/>
        <w:spacing w:before="240" w:after="240" w:line="240" w:lineRule="auto"/>
        <w:ind w:left="567" w:hanging="567"/>
        <w:jc w:val="both"/>
        <w:rPr>
          <w:rFonts w:ascii="Calibri" w:hAnsi="Calibri"/>
        </w:rPr>
      </w:pPr>
      <w:bookmarkStart w:id="118" w:name="_Ref163735986"/>
      <w:bookmarkEnd w:id="116"/>
      <w:r>
        <w:rPr>
          <w:rFonts w:ascii="Arial" w:hAnsi="Arial" w:cs="Arial"/>
        </w:rPr>
        <w:t>příloha č. 3:</w:t>
      </w:r>
      <w:r>
        <w:rPr>
          <w:rFonts w:ascii="Arial" w:hAnsi="Arial" w:cs="Arial"/>
        </w:rPr>
        <w:tab/>
        <w:t>Seznam poddodavatelů</w:t>
      </w:r>
      <w:bookmarkEnd w:id="118"/>
    </w:p>
    <w:p>
      <w:pPr>
        <w:pStyle w:val="Odstavecseseznamem"/>
        <w:keepNext/>
        <w:numPr>
          <w:ilvl w:val="0"/>
          <w:numId w:val="4"/>
        </w:numPr>
        <w:suppressAutoHyphens w:val="0"/>
        <w:spacing w:before="240" w:after="240" w:line="240" w:lineRule="auto"/>
        <w:ind w:left="567" w:hanging="567"/>
        <w:jc w:val="both"/>
        <w:rPr>
          <w:rFonts w:ascii="Calibri" w:hAnsi="Calibri"/>
        </w:rPr>
      </w:pPr>
      <w:bookmarkStart w:id="119" w:name="_Ref163736208"/>
      <w:r>
        <w:rPr>
          <w:rFonts w:ascii="Arial" w:hAnsi="Arial" w:cs="Arial"/>
        </w:rPr>
        <w:t>příloha č. 4:</w:t>
      </w:r>
      <w:r>
        <w:rPr>
          <w:rFonts w:ascii="Arial" w:hAnsi="Arial" w:cs="Arial"/>
        </w:rPr>
        <w:tab/>
        <w:t>Pravidla kybernetické bezpečnosti pro dodavatele</w:t>
      </w:r>
      <w:bookmarkEnd w:id="119"/>
    </w:p>
    <w:p>
      <w:pPr>
        <w:keepNext/>
        <w:spacing w:line="240" w:lineRule="auto"/>
        <w:jc w:val="both"/>
        <w:rPr>
          <w:rFonts w:ascii="Arial" w:hAnsi="Arial" w:cs="Arial"/>
        </w:rPr>
      </w:pPr>
    </w:p>
    <w:p>
      <w:pPr>
        <w:keepNext/>
        <w:spacing w:line="240" w:lineRule="auto"/>
        <w:jc w:val="both"/>
        <w:rPr>
          <w:rFonts w:ascii="Arial" w:hAnsi="Arial" w:cs="Arial"/>
        </w:rPr>
      </w:pPr>
      <w:r>
        <w:rPr>
          <w:rFonts w:ascii="Arial" w:hAnsi="Arial" w:cs="Arial"/>
        </w:rPr>
        <w:t>Ve Žďáře nad Sázavou dne</w:t>
      </w:r>
      <w:r>
        <w:rPr>
          <w:rFonts w:ascii="Arial" w:hAnsi="Arial" w:cs="Arial"/>
          <w:i/>
          <w:iCs/>
        </w:rPr>
        <w:t xml:space="preserve"> dle el. podpisu</w:t>
      </w:r>
      <w:r>
        <w:rPr>
          <w:rFonts w:ascii="Arial" w:hAnsi="Arial" w:cs="Arial"/>
        </w:rPr>
        <w:tab/>
      </w:r>
      <w:r>
        <w:rPr>
          <w:rFonts w:ascii="Arial" w:hAnsi="Arial" w:cs="Arial"/>
        </w:rPr>
        <w:tab/>
        <w:t xml:space="preserve">V____________ dne </w:t>
      </w:r>
      <w:r>
        <w:rPr>
          <w:rFonts w:ascii="Arial" w:hAnsi="Arial" w:cs="Arial"/>
          <w:i/>
          <w:iCs/>
        </w:rPr>
        <w:t>dle el. podpisu</w:t>
      </w:r>
      <w:r>
        <w:rPr>
          <w:rFonts w:ascii="Arial" w:hAnsi="Arial" w:cs="Arial"/>
        </w:rPr>
        <w:t xml:space="preserve"> </w:t>
      </w:r>
    </w:p>
    <w:p>
      <w:pPr>
        <w:keepNext/>
        <w:spacing w:line="240" w:lineRule="auto"/>
        <w:jc w:val="both"/>
        <w:rPr>
          <w:rFonts w:ascii="Arial" w:hAnsi="Arial" w:cs="Arial"/>
        </w:rPr>
      </w:pPr>
    </w:p>
    <w:p>
      <w:pPr>
        <w:keepNext/>
        <w:spacing w:line="240" w:lineRule="auto"/>
        <w:jc w:val="both"/>
        <w:rPr>
          <w:rFonts w:ascii="Arial" w:hAnsi="Arial" w:cs="Arial"/>
          <w:b/>
        </w:rPr>
      </w:pPr>
    </w:p>
    <w:p>
      <w:pPr>
        <w:keepNext/>
        <w:spacing w:line="240" w:lineRule="auto"/>
        <w:rPr>
          <w:rFonts w:ascii="Arial" w:hAnsi="Arial" w:cs="Arial"/>
          <w:b/>
        </w:rPr>
      </w:pPr>
    </w:p>
    <w:p>
      <w:pPr>
        <w:keepNext/>
        <w:spacing w:line="240" w:lineRule="auto"/>
        <w:rPr>
          <w:rFonts w:ascii="Arial" w:hAnsi="Arial" w:cs="Arial"/>
        </w:rPr>
      </w:pPr>
      <w:r>
        <w:rPr>
          <w:rFonts w:ascii="Arial" w:hAnsi="Arial" w:cs="Arial"/>
        </w:rPr>
        <w:t>__________________________</w:t>
      </w:r>
      <w:r>
        <w:rPr>
          <w:rFonts w:ascii="Arial" w:hAnsi="Arial" w:cs="Arial"/>
        </w:rPr>
        <w:tab/>
      </w:r>
      <w:r>
        <w:rPr>
          <w:rFonts w:ascii="Arial" w:hAnsi="Arial" w:cs="Arial"/>
        </w:rPr>
        <w:tab/>
      </w:r>
      <w:r>
        <w:rPr>
          <w:rFonts w:ascii="Arial" w:hAnsi="Arial" w:cs="Arial"/>
        </w:rPr>
        <w:tab/>
        <w:t>__________________________</w:t>
      </w:r>
    </w:p>
    <w:p>
      <w:pPr>
        <w:keepNext/>
        <w:spacing w:line="240" w:lineRule="auto"/>
        <w:rPr>
          <w:rFonts w:ascii="Arial" w:hAnsi="Arial" w:cs="Arial"/>
          <w:b/>
        </w:rPr>
      </w:pPr>
      <w:r>
        <w:rPr>
          <w:rFonts w:ascii="Arial" w:hAnsi="Arial" w:cs="Arial"/>
          <w:b/>
        </w:rPr>
        <w:t>Objednatel</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Dodavatel</w:t>
      </w:r>
    </w:p>
    <w:p>
      <w:pPr>
        <w:pStyle w:val="Zkladntext2"/>
        <w:keepNext/>
        <w:tabs>
          <w:tab w:val="left" w:pos="4678"/>
        </w:tabs>
        <w:suppressAutoHyphens/>
        <w:spacing w:after="0" w:line="240" w:lineRule="auto"/>
        <w:jc w:val="center"/>
        <w:rPr>
          <w:rFonts w:ascii="Arial" w:hAnsi="Arial" w:cs="Arial"/>
          <w:b/>
          <w:sz w:val="22"/>
          <w:szCs w:val="22"/>
        </w:rPr>
      </w:pPr>
    </w:p>
    <w:p>
      <w:pPr>
        <w:pStyle w:val="Zkladntext2"/>
        <w:tabs>
          <w:tab w:val="left" w:pos="4678"/>
        </w:tabs>
        <w:suppressAutoHyphens/>
        <w:spacing w:after="0" w:line="240" w:lineRule="auto"/>
        <w:jc w:val="center"/>
        <w:rPr>
          <w:rFonts w:ascii="Arial" w:hAnsi="Arial" w:cs="Arial"/>
          <w:b/>
          <w:sz w:val="22"/>
          <w:szCs w:val="22"/>
        </w:rPr>
      </w:pPr>
    </w:p>
    <w:p>
      <w:pPr>
        <w:pStyle w:val="Zkladntext2"/>
        <w:tabs>
          <w:tab w:val="left" w:pos="4678"/>
        </w:tabs>
        <w:suppressAutoHyphens/>
        <w:spacing w:after="0" w:line="240" w:lineRule="auto"/>
        <w:jc w:val="center"/>
        <w:rPr>
          <w:rFonts w:ascii="Arial" w:hAnsi="Arial" w:cs="Arial"/>
          <w:b/>
          <w:sz w:val="22"/>
          <w:szCs w:val="22"/>
        </w:rPr>
      </w:pPr>
    </w:p>
    <w:p>
      <w:pPr>
        <w:spacing w:after="0" w:line="240" w:lineRule="auto"/>
        <w:rPr>
          <w:rFonts w:ascii="Arial" w:eastAsia="Times New Roman" w:hAnsi="Arial" w:cs="Arial"/>
          <w:b/>
          <w:lang w:eastAsia="cs-CZ"/>
        </w:rPr>
      </w:pPr>
      <w:r>
        <w:rPr>
          <w:rFonts w:ascii="Arial" w:hAnsi="Arial" w:cs="Arial"/>
          <w:b/>
        </w:rPr>
        <w:br w:type="page"/>
      </w:r>
    </w:p>
    <w:p>
      <w:pPr>
        <w:pStyle w:val="Zkladntext2"/>
        <w:tabs>
          <w:tab w:val="left" w:pos="4678"/>
        </w:tabs>
        <w:suppressAutoHyphens/>
        <w:spacing w:after="0" w:line="240" w:lineRule="auto"/>
        <w:jc w:val="center"/>
        <w:rPr>
          <w:rFonts w:ascii="Arial" w:hAnsi="Arial" w:cs="Arial"/>
          <w:b/>
          <w:sz w:val="22"/>
          <w:szCs w:val="22"/>
        </w:rPr>
      </w:pPr>
    </w:p>
    <w:p>
      <w:pPr>
        <w:spacing w:after="0" w:line="240" w:lineRule="auto"/>
        <w:rPr>
          <w:rFonts w:ascii="Arial" w:eastAsia="Times New Roman" w:hAnsi="Arial" w:cs="Arial"/>
          <w:b/>
          <w:lang w:eastAsia="cs-CZ"/>
        </w:rPr>
      </w:pPr>
    </w:p>
    <w:p>
      <w:pPr>
        <w:pStyle w:val="Zkladntext2"/>
        <w:tabs>
          <w:tab w:val="left" w:pos="4678"/>
        </w:tabs>
        <w:suppressAutoHyphens/>
        <w:spacing w:after="0" w:line="240" w:lineRule="auto"/>
        <w:jc w:val="center"/>
        <w:rPr>
          <w:rFonts w:ascii="Arial" w:hAnsi="Arial" w:cs="Arial"/>
          <w:b/>
          <w:sz w:val="22"/>
          <w:szCs w:val="22"/>
        </w:rPr>
      </w:pPr>
      <w:r>
        <w:rPr>
          <w:rFonts w:ascii="Arial" w:hAnsi="Arial" w:cs="Arial"/>
          <w:b/>
          <w:sz w:val="22"/>
          <w:szCs w:val="22"/>
        </w:rPr>
        <w:t xml:space="preserve">Příloha č. </w:t>
      </w:r>
      <w:r>
        <w:rPr>
          <w:rFonts w:ascii="Arial" w:hAnsi="Arial" w:cs="Arial"/>
          <w:b/>
          <w:sz w:val="22"/>
          <w:szCs w:val="22"/>
        </w:rPr>
        <w:fldChar w:fldCharType="begin"/>
      </w:r>
      <w:r>
        <w:rPr>
          <w:rFonts w:ascii="Arial" w:hAnsi="Arial" w:cs="Arial"/>
          <w:b/>
          <w:sz w:val="22"/>
          <w:szCs w:val="22"/>
        </w:rPr>
        <w:instrText xml:space="preserve"> REF _Ref434937885 \r \h  \* MERGEFORMAT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1</w:t>
      </w:r>
      <w:r>
        <w:rPr>
          <w:rFonts w:ascii="Arial" w:hAnsi="Arial" w:cs="Arial"/>
          <w:b/>
          <w:sz w:val="22"/>
          <w:szCs w:val="22"/>
        </w:rPr>
        <w:fldChar w:fldCharType="end"/>
      </w:r>
      <w:r>
        <w:rPr>
          <w:rFonts w:ascii="Arial" w:hAnsi="Arial" w:cs="Arial"/>
          <w:b/>
          <w:sz w:val="22"/>
          <w:szCs w:val="22"/>
        </w:rPr>
        <w:t xml:space="preserve"> Smlouvy</w:t>
      </w:r>
    </w:p>
    <w:p>
      <w:pPr>
        <w:pStyle w:val="Zkladntext2"/>
        <w:tabs>
          <w:tab w:val="left" w:pos="4678"/>
        </w:tabs>
        <w:suppressAutoHyphens/>
        <w:spacing w:after="0" w:line="240" w:lineRule="auto"/>
        <w:jc w:val="center"/>
        <w:rPr>
          <w:rFonts w:ascii="Arial" w:hAnsi="Arial" w:cs="Arial"/>
          <w:b/>
          <w:sz w:val="22"/>
          <w:szCs w:val="22"/>
        </w:rPr>
      </w:pPr>
    </w:p>
    <w:p>
      <w:pPr>
        <w:pStyle w:val="Zkladntext2"/>
        <w:tabs>
          <w:tab w:val="left" w:pos="4678"/>
        </w:tabs>
        <w:suppressAutoHyphens/>
        <w:spacing w:after="0" w:line="240" w:lineRule="auto"/>
        <w:jc w:val="center"/>
        <w:rPr>
          <w:rFonts w:ascii="Arial" w:hAnsi="Arial" w:cs="Arial"/>
          <w:b/>
          <w:sz w:val="22"/>
          <w:szCs w:val="22"/>
        </w:rPr>
      </w:pPr>
      <w:r>
        <w:rPr>
          <w:rFonts w:ascii="Arial" w:hAnsi="Arial" w:cs="Arial"/>
          <w:b/>
          <w:sz w:val="22"/>
          <w:szCs w:val="22"/>
        </w:rPr>
        <w:t>Technická specifikace</w:t>
      </w:r>
    </w:p>
    <w:p>
      <w:pPr>
        <w:rPr>
          <w:rFonts w:ascii="Arial" w:hAnsi="Arial" w:cs="Arial"/>
          <w:b/>
          <w:i/>
        </w:rPr>
      </w:pPr>
    </w:p>
    <w:p>
      <w:pPr>
        <w:rPr>
          <w:rFonts w:ascii="Arial" w:hAnsi="Arial" w:cs="Arial"/>
          <w:b/>
          <w:i/>
        </w:rPr>
      </w:pPr>
      <w:r>
        <w:rPr>
          <w:rFonts w:ascii="Arial" w:hAnsi="Arial" w:cs="Arial"/>
          <w:b/>
          <w:i/>
        </w:rPr>
        <w:t>Informace pro účastníky:</w:t>
      </w:r>
    </w:p>
    <w:p>
      <w:pPr>
        <w:spacing w:line="276" w:lineRule="auto"/>
        <w:jc w:val="both"/>
        <w:rPr>
          <w:rFonts w:ascii="Arial" w:hAnsi="Arial" w:cs="Arial"/>
          <w:i/>
        </w:rPr>
      </w:pPr>
      <w:r>
        <w:rPr>
          <w:rFonts w:ascii="Arial" w:hAnsi="Arial" w:cs="Arial"/>
          <w:i/>
        </w:rPr>
        <w:t>Technická specifikace bude ke Smlouvě přiložena při uzavření Smlouvy s vybraným dodavatelem.</w:t>
      </w: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spacing w:line="276" w:lineRule="auto"/>
        <w:jc w:val="both"/>
        <w:rPr>
          <w:rFonts w:ascii="Arial" w:hAnsi="Arial" w:cs="Arial"/>
          <w:i/>
        </w:rPr>
      </w:pPr>
    </w:p>
    <w:p>
      <w:pPr>
        <w:pStyle w:val="Zkladntext2"/>
        <w:tabs>
          <w:tab w:val="left" w:pos="4678"/>
        </w:tabs>
        <w:suppressAutoHyphens/>
        <w:spacing w:after="0" w:line="240" w:lineRule="auto"/>
        <w:jc w:val="center"/>
        <w:rPr>
          <w:rFonts w:ascii="Arial" w:hAnsi="Arial" w:cs="Arial"/>
          <w:b/>
          <w:sz w:val="22"/>
          <w:szCs w:val="22"/>
        </w:rPr>
      </w:pPr>
      <w:r>
        <w:rPr>
          <w:rFonts w:ascii="Arial" w:hAnsi="Arial" w:cs="Arial"/>
          <w:b/>
          <w:sz w:val="22"/>
          <w:szCs w:val="22"/>
        </w:rPr>
        <w:t xml:space="preserve">Příloha č. </w:t>
      </w:r>
      <w:r>
        <w:rPr>
          <w:rFonts w:ascii="Arial" w:hAnsi="Arial" w:cs="Arial"/>
          <w:b/>
          <w:sz w:val="22"/>
          <w:szCs w:val="22"/>
        </w:rPr>
        <w:fldChar w:fldCharType="begin"/>
      </w:r>
      <w:r>
        <w:rPr>
          <w:rFonts w:ascii="Arial" w:hAnsi="Arial" w:cs="Arial"/>
          <w:b/>
          <w:sz w:val="22"/>
          <w:szCs w:val="22"/>
        </w:rPr>
        <w:instrText xml:space="preserve"> REF _Ref163735884 \r \h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2</w:t>
      </w:r>
      <w:r>
        <w:rPr>
          <w:rFonts w:ascii="Arial" w:hAnsi="Arial" w:cs="Arial"/>
          <w:b/>
          <w:sz w:val="22"/>
          <w:szCs w:val="22"/>
        </w:rPr>
        <w:fldChar w:fldCharType="end"/>
      </w:r>
      <w:r>
        <w:rPr>
          <w:rFonts w:ascii="Arial" w:hAnsi="Arial" w:cs="Arial"/>
          <w:b/>
          <w:sz w:val="22"/>
          <w:szCs w:val="22"/>
        </w:rPr>
        <w:t xml:space="preserve"> Smlouvy</w:t>
      </w:r>
    </w:p>
    <w:p>
      <w:pPr>
        <w:pStyle w:val="Zkladntext2"/>
        <w:tabs>
          <w:tab w:val="left" w:pos="4678"/>
        </w:tabs>
        <w:suppressAutoHyphens/>
        <w:spacing w:after="0" w:line="240" w:lineRule="auto"/>
        <w:jc w:val="center"/>
        <w:rPr>
          <w:rFonts w:ascii="Arial" w:hAnsi="Arial" w:cs="Arial"/>
          <w:b/>
          <w:sz w:val="22"/>
          <w:szCs w:val="22"/>
        </w:rPr>
      </w:pPr>
    </w:p>
    <w:p>
      <w:pPr>
        <w:pStyle w:val="Zkladntext2"/>
        <w:tabs>
          <w:tab w:val="left" w:pos="4678"/>
        </w:tabs>
        <w:suppressAutoHyphens/>
        <w:spacing w:after="0" w:line="240" w:lineRule="auto"/>
        <w:jc w:val="center"/>
        <w:rPr>
          <w:rFonts w:ascii="Arial" w:hAnsi="Arial" w:cs="Arial"/>
          <w:b/>
          <w:sz w:val="22"/>
          <w:szCs w:val="22"/>
        </w:rPr>
      </w:pPr>
      <w:r>
        <w:rPr>
          <w:rFonts w:ascii="Arial" w:hAnsi="Arial" w:cs="Arial"/>
          <w:b/>
          <w:sz w:val="22"/>
          <w:szCs w:val="22"/>
        </w:rPr>
        <w:t>Cenová kalkulace</w:t>
      </w:r>
    </w:p>
    <w:p>
      <w:pPr>
        <w:rPr>
          <w:rFonts w:ascii="Arial" w:hAnsi="Arial" w:cs="Arial"/>
          <w:b/>
          <w:i/>
        </w:rPr>
      </w:pPr>
    </w:p>
    <w:p>
      <w:pPr>
        <w:rPr>
          <w:rFonts w:ascii="Arial" w:hAnsi="Arial" w:cs="Arial"/>
          <w:b/>
          <w:i/>
        </w:rPr>
      </w:pPr>
      <w:r>
        <w:rPr>
          <w:rFonts w:ascii="Arial" w:hAnsi="Arial" w:cs="Arial"/>
          <w:b/>
          <w:i/>
        </w:rPr>
        <w:t>Informace pro účastníky:</w:t>
      </w:r>
    </w:p>
    <w:p>
      <w:pPr>
        <w:jc w:val="both"/>
        <w:rPr>
          <w:rFonts w:ascii="Arial" w:hAnsi="Arial" w:cs="Arial"/>
          <w:i/>
        </w:rPr>
      </w:pPr>
      <w:r>
        <w:rPr>
          <w:rFonts w:ascii="Arial" w:hAnsi="Arial" w:cs="Arial"/>
          <w:i/>
        </w:rPr>
        <w:t>Cenová kalkulace bude ke Smlouvě přiložena při uzavření Smlouvy s vybraným dodavatelem dle jeho nabídky předložené do Řízení veřejné zakázky.</w:t>
      </w:r>
    </w:p>
    <w:p>
      <w:pPr>
        <w:pStyle w:val="Zkladntext2"/>
        <w:tabs>
          <w:tab w:val="left" w:pos="4678"/>
        </w:tabs>
        <w:suppressAutoHyphens/>
        <w:spacing w:after="0" w:line="276" w:lineRule="auto"/>
        <w:jc w:val="center"/>
        <w:rPr>
          <w:rFonts w:asciiTheme="minorHAnsi" w:hAnsiTheme="minorHAnsi"/>
          <w:b/>
          <w:sz w:val="22"/>
          <w:szCs w:val="22"/>
        </w:rPr>
      </w:pPr>
    </w:p>
    <w:p>
      <w:pPr>
        <w:pStyle w:val="Zkladntext2"/>
        <w:tabs>
          <w:tab w:val="left" w:pos="4678"/>
        </w:tabs>
        <w:suppressAutoHyphens/>
        <w:spacing w:after="0" w:line="276" w:lineRule="auto"/>
        <w:jc w:val="center"/>
        <w:rPr>
          <w:rFonts w:asciiTheme="minorHAnsi" w:hAnsiTheme="minorHAnsi"/>
          <w:b/>
          <w:sz w:val="22"/>
          <w:szCs w:val="22"/>
        </w:rPr>
      </w:pPr>
    </w:p>
    <w:p>
      <w:pPr>
        <w:pStyle w:val="Zkladntext2"/>
        <w:tabs>
          <w:tab w:val="left" w:pos="4678"/>
        </w:tabs>
        <w:suppressAutoHyphens/>
        <w:spacing w:after="0" w:line="276" w:lineRule="auto"/>
        <w:jc w:val="center"/>
        <w:rPr>
          <w:rFonts w:asciiTheme="minorHAnsi" w:hAnsiTheme="minorHAnsi"/>
          <w:b/>
          <w:sz w:val="22"/>
          <w:szCs w:val="22"/>
        </w:rPr>
      </w:pPr>
    </w:p>
    <w:p>
      <w:pPr>
        <w:pStyle w:val="Zkladntext2"/>
        <w:tabs>
          <w:tab w:val="left" w:pos="4678"/>
        </w:tabs>
        <w:suppressAutoHyphens/>
        <w:spacing w:after="0" w:line="276" w:lineRule="auto"/>
        <w:jc w:val="center"/>
        <w:rPr>
          <w:rFonts w:asciiTheme="minorHAnsi" w:hAnsiTheme="minorHAnsi"/>
          <w:b/>
          <w:sz w:val="22"/>
          <w:szCs w:val="22"/>
        </w:rPr>
      </w:pPr>
    </w:p>
    <w:p>
      <w:pPr>
        <w:pStyle w:val="Zkladntext2"/>
        <w:tabs>
          <w:tab w:val="left" w:pos="4678"/>
        </w:tabs>
        <w:suppressAutoHyphens/>
        <w:spacing w:after="0" w:line="276" w:lineRule="auto"/>
        <w:jc w:val="center"/>
        <w:rPr>
          <w:rFonts w:asciiTheme="minorHAnsi" w:hAnsiTheme="minorHAnsi"/>
          <w:b/>
          <w:sz w:val="22"/>
          <w:szCs w:val="22"/>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pStyle w:val="Zkladntext2"/>
        <w:tabs>
          <w:tab w:val="left" w:pos="4678"/>
        </w:tabs>
        <w:suppressAutoHyphens/>
        <w:spacing w:after="0" w:line="240" w:lineRule="auto"/>
        <w:jc w:val="center"/>
        <w:rPr>
          <w:rFonts w:ascii="Arial" w:hAnsi="Arial" w:cs="Arial"/>
          <w:b/>
          <w:sz w:val="22"/>
          <w:szCs w:val="22"/>
        </w:rPr>
      </w:pPr>
      <w:r>
        <w:rPr>
          <w:rFonts w:ascii="Arial" w:hAnsi="Arial" w:cs="Arial"/>
          <w:b/>
          <w:sz w:val="22"/>
          <w:szCs w:val="22"/>
        </w:rPr>
        <w:t xml:space="preserve">Příloha č. </w:t>
      </w:r>
      <w:r>
        <w:rPr>
          <w:rFonts w:ascii="Arial" w:hAnsi="Arial" w:cs="Arial"/>
          <w:b/>
          <w:sz w:val="22"/>
          <w:szCs w:val="22"/>
        </w:rPr>
        <w:fldChar w:fldCharType="begin"/>
      </w:r>
      <w:r>
        <w:rPr>
          <w:rFonts w:ascii="Arial" w:hAnsi="Arial" w:cs="Arial"/>
          <w:b/>
          <w:sz w:val="22"/>
          <w:szCs w:val="22"/>
        </w:rPr>
        <w:instrText xml:space="preserve"> REF _Ref163735986 \r \h </w:instrText>
      </w:r>
      <w:r>
        <w:rPr>
          <w:rFonts w:ascii="Arial" w:hAnsi="Arial" w:cs="Arial"/>
          <w:b/>
          <w:sz w:val="22"/>
          <w:szCs w:val="22"/>
        </w:rPr>
      </w:r>
      <w:r>
        <w:rPr>
          <w:rFonts w:ascii="Arial" w:hAnsi="Arial" w:cs="Arial"/>
          <w:b/>
          <w:sz w:val="22"/>
          <w:szCs w:val="22"/>
        </w:rPr>
        <w:fldChar w:fldCharType="separate"/>
      </w:r>
      <w:r>
        <w:rPr>
          <w:rFonts w:ascii="Arial" w:hAnsi="Arial" w:cs="Arial"/>
          <w:b/>
          <w:sz w:val="22"/>
          <w:szCs w:val="22"/>
        </w:rPr>
        <w:t>3</w:t>
      </w:r>
      <w:r>
        <w:rPr>
          <w:rFonts w:ascii="Arial" w:hAnsi="Arial" w:cs="Arial"/>
          <w:b/>
          <w:sz w:val="22"/>
          <w:szCs w:val="22"/>
        </w:rPr>
        <w:fldChar w:fldCharType="end"/>
      </w:r>
      <w:r>
        <w:rPr>
          <w:rFonts w:ascii="Arial" w:hAnsi="Arial" w:cs="Arial"/>
          <w:b/>
          <w:sz w:val="22"/>
          <w:szCs w:val="22"/>
        </w:rPr>
        <w:t xml:space="preserve"> Smlouvy</w:t>
      </w:r>
    </w:p>
    <w:p>
      <w:pPr>
        <w:pStyle w:val="Zkladntext2"/>
        <w:tabs>
          <w:tab w:val="left" w:pos="4678"/>
        </w:tabs>
        <w:suppressAutoHyphens/>
        <w:spacing w:after="0" w:line="240" w:lineRule="auto"/>
        <w:jc w:val="center"/>
        <w:rPr>
          <w:rFonts w:ascii="Arial" w:hAnsi="Arial" w:cs="Arial"/>
          <w:b/>
          <w:sz w:val="22"/>
          <w:szCs w:val="22"/>
        </w:rPr>
      </w:pPr>
    </w:p>
    <w:p>
      <w:pPr>
        <w:pStyle w:val="Zkladntext2"/>
        <w:tabs>
          <w:tab w:val="left" w:pos="4678"/>
        </w:tabs>
        <w:suppressAutoHyphens/>
        <w:spacing w:after="0" w:line="240" w:lineRule="auto"/>
        <w:jc w:val="center"/>
        <w:rPr>
          <w:rFonts w:ascii="Arial" w:hAnsi="Arial" w:cs="Arial"/>
          <w:b/>
          <w:sz w:val="22"/>
          <w:szCs w:val="22"/>
        </w:rPr>
      </w:pPr>
      <w:r>
        <w:rPr>
          <w:rFonts w:ascii="Arial" w:hAnsi="Arial" w:cs="Arial"/>
          <w:b/>
          <w:sz w:val="22"/>
          <w:szCs w:val="22"/>
        </w:rPr>
        <w:t>Seznam poddodavatelů</w:t>
      </w:r>
    </w:p>
    <w:p>
      <w:pPr>
        <w:pStyle w:val="Zkladntext2"/>
        <w:tabs>
          <w:tab w:val="left" w:pos="4678"/>
        </w:tabs>
        <w:suppressAutoHyphens/>
        <w:spacing w:after="0" w:line="240" w:lineRule="auto"/>
        <w:jc w:val="center"/>
        <w:rPr>
          <w:rFonts w:ascii="Arial" w:hAnsi="Arial" w:cs="Arial"/>
          <w:b/>
          <w:sz w:val="22"/>
          <w:szCs w:val="22"/>
        </w:rPr>
      </w:pPr>
    </w:p>
    <w:tbl>
      <w:tblPr>
        <w:tblpPr w:leftFromText="141" w:rightFromText="141" w:vertAnchor="page" w:horzAnchor="margin" w:tblpY="2644"/>
        <w:tblW w:w="948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69"/>
        <w:gridCol w:w="1276"/>
        <w:gridCol w:w="1565"/>
        <w:gridCol w:w="2693"/>
        <w:gridCol w:w="1979"/>
      </w:tblGrid>
      <w:tr>
        <w:tc>
          <w:tcPr>
            <w:tcW w:w="1969" w:type="dxa"/>
            <w:tcMar>
              <w:top w:w="100" w:type="dxa"/>
              <w:left w:w="100" w:type="dxa"/>
              <w:bottom w:w="100" w:type="dxa"/>
              <w:right w:w="100" w:type="dxa"/>
            </w:tcMar>
            <w:vAlign w:val="center"/>
          </w:tcPr>
          <w:p>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Jméno / Obchodní firma poddodavatele</w:t>
            </w:r>
          </w:p>
        </w:tc>
        <w:tc>
          <w:tcPr>
            <w:tcW w:w="1276" w:type="dxa"/>
            <w:tcMar>
              <w:top w:w="100" w:type="dxa"/>
              <w:left w:w="100" w:type="dxa"/>
              <w:bottom w:w="100" w:type="dxa"/>
              <w:right w:w="100" w:type="dxa"/>
            </w:tcMar>
            <w:vAlign w:val="center"/>
          </w:tcPr>
          <w:p>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IČO</w:t>
            </w:r>
          </w:p>
        </w:tc>
        <w:tc>
          <w:tcPr>
            <w:tcW w:w="1565" w:type="dxa"/>
            <w:tcMar>
              <w:top w:w="100" w:type="dxa"/>
              <w:left w:w="100" w:type="dxa"/>
              <w:bottom w:w="100" w:type="dxa"/>
              <w:right w:w="100" w:type="dxa"/>
            </w:tcMar>
            <w:vAlign w:val="center"/>
          </w:tcPr>
          <w:p>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Sídlo</w:t>
            </w:r>
          </w:p>
        </w:tc>
        <w:tc>
          <w:tcPr>
            <w:tcW w:w="2693" w:type="dxa"/>
            <w:tcMar>
              <w:top w:w="100" w:type="dxa"/>
              <w:left w:w="100" w:type="dxa"/>
              <w:bottom w:w="100" w:type="dxa"/>
              <w:right w:w="100" w:type="dxa"/>
            </w:tcMar>
            <w:vAlign w:val="center"/>
          </w:tcPr>
          <w:p>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Plnění, které bude poddodavatel realizovat</w:t>
            </w:r>
          </w:p>
        </w:tc>
        <w:tc>
          <w:tcPr>
            <w:tcW w:w="1979" w:type="dxa"/>
            <w:tcMar>
              <w:top w:w="100" w:type="dxa"/>
              <w:left w:w="100" w:type="dxa"/>
              <w:bottom w:w="100" w:type="dxa"/>
              <w:right w:w="100" w:type="dxa"/>
            </w:tcMar>
            <w:vAlign w:val="center"/>
          </w:tcPr>
          <w:p>
            <w:pPr>
              <w:widowControl w:val="0"/>
              <w:pBdr>
                <w:top w:val="nil"/>
                <w:left w:val="nil"/>
                <w:bottom w:val="nil"/>
                <w:right w:val="nil"/>
                <w:between w:val="nil"/>
              </w:pBdr>
              <w:spacing w:after="0" w:line="240" w:lineRule="auto"/>
              <w:jc w:val="center"/>
              <w:rPr>
                <w:rFonts w:ascii="Arial" w:eastAsia="Arial" w:hAnsi="Arial" w:cs="Arial"/>
                <w:b/>
                <w:sz w:val="20"/>
                <w:szCs w:val="20"/>
              </w:rPr>
            </w:pPr>
            <w:r>
              <w:rPr>
                <w:rFonts w:ascii="Arial" w:eastAsia="Arial" w:hAnsi="Arial" w:cs="Arial"/>
                <w:b/>
                <w:sz w:val="20"/>
                <w:szCs w:val="20"/>
              </w:rPr>
              <w:t>Jedná se o poddodavatele, kterým Dodavatel prokazuje splnění části kvalifikačních předpokladů?</w:t>
            </w:r>
          </w:p>
        </w:tc>
      </w:tr>
      <w:tr>
        <w:tc>
          <w:tcPr>
            <w:tcW w:w="196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276"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565"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2693"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97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r>
      <w:tr>
        <w:tc>
          <w:tcPr>
            <w:tcW w:w="196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276"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565"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2693"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97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r>
      <w:tr>
        <w:tc>
          <w:tcPr>
            <w:tcW w:w="196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276"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565"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2693"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97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r>
      <w:tr>
        <w:tc>
          <w:tcPr>
            <w:tcW w:w="196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276"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565"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2693"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c>
          <w:tcPr>
            <w:tcW w:w="197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eastAsia="Arial" w:hAnsi="Arial" w:cs="Arial"/>
                <w:b/>
                <w:sz w:val="20"/>
                <w:szCs w:val="20"/>
                <w:highlight w:val="yellow"/>
              </w:rPr>
            </w:pPr>
            <w:r>
              <w:rPr>
                <w:rFonts w:ascii="Arial" w:hAnsi="Arial" w:cs="Arial"/>
                <w:highlight w:val="yellow"/>
              </w:rPr>
              <w:t>[vyplní účastník]</w:t>
            </w:r>
          </w:p>
        </w:tc>
      </w:tr>
      <w:tr>
        <w:trPr>
          <w:trHeight w:val="487"/>
        </w:trPr>
        <w:tc>
          <w:tcPr>
            <w:tcW w:w="196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hAnsi="Arial" w:cs="Arial"/>
                <w:highlight w:val="yellow"/>
              </w:rPr>
            </w:pPr>
            <w:r>
              <w:rPr>
                <w:rFonts w:ascii="Arial" w:hAnsi="Arial" w:cs="Arial"/>
                <w:highlight w:val="yellow"/>
              </w:rPr>
              <w:t>[vyplní účastník]</w:t>
            </w:r>
          </w:p>
        </w:tc>
        <w:tc>
          <w:tcPr>
            <w:tcW w:w="1276"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hAnsi="Arial" w:cs="Arial"/>
                <w:highlight w:val="yellow"/>
              </w:rPr>
            </w:pPr>
            <w:r>
              <w:rPr>
                <w:rFonts w:ascii="Arial" w:hAnsi="Arial" w:cs="Arial"/>
                <w:highlight w:val="yellow"/>
              </w:rPr>
              <w:t>[vyplní účastník]</w:t>
            </w:r>
          </w:p>
        </w:tc>
        <w:tc>
          <w:tcPr>
            <w:tcW w:w="1565"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hAnsi="Arial" w:cs="Arial"/>
                <w:highlight w:val="yellow"/>
              </w:rPr>
            </w:pPr>
            <w:r>
              <w:rPr>
                <w:rFonts w:ascii="Arial" w:hAnsi="Arial" w:cs="Arial"/>
                <w:highlight w:val="yellow"/>
              </w:rPr>
              <w:t>[vyplní účastník]</w:t>
            </w:r>
          </w:p>
        </w:tc>
        <w:tc>
          <w:tcPr>
            <w:tcW w:w="2693"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hAnsi="Arial" w:cs="Arial"/>
                <w:highlight w:val="yellow"/>
              </w:rPr>
            </w:pPr>
            <w:r>
              <w:rPr>
                <w:rFonts w:ascii="Arial" w:hAnsi="Arial" w:cs="Arial"/>
                <w:highlight w:val="yellow"/>
              </w:rPr>
              <w:t>[vyplní účastník]</w:t>
            </w:r>
          </w:p>
        </w:tc>
        <w:tc>
          <w:tcPr>
            <w:tcW w:w="1979" w:type="dxa"/>
            <w:tcMar>
              <w:top w:w="100" w:type="dxa"/>
              <w:left w:w="100" w:type="dxa"/>
              <w:bottom w:w="100" w:type="dxa"/>
              <w:right w:w="100" w:type="dxa"/>
            </w:tcMar>
          </w:tcPr>
          <w:p>
            <w:pPr>
              <w:widowControl w:val="0"/>
              <w:pBdr>
                <w:top w:val="nil"/>
                <w:left w:val="nil"/>
                <w:bottom w:val="nil"/>
                <w:right w:val="nil"/>
                <w:between w:val="nil"/>
              </w:pBdr>
              <w:spacing w:after="0" w:line="240" w:lineRule="auto"/>
              <w:rPr>
                <w:rFonts w:ascii="Arial" w:hAnsi="Arial" w:cs="Arial"/>
                <w:highlight w:val="yellow"/>
              </w:rPr>
            </w:pPr>
            <w:r>
              <w:rPr>
                <w:rFonts w:ascii="Arial" w:hAnsi="Arial" w:cs="Arial"/>
                <w:highlight w:val="yellow"/>
              </w:rPr>
              <w:t>[vyplní účastník]</w:t>
            </w:r>
          </w:p>
        </w:tc>
      </w:tr>
    </w:tbl>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line="276" w:lineRule="auto"/>
        <w:jc w:val="both"/>
        <w:rPr>
          <w:rFonts w:ascii="Arial" w:hAnsi="Arial" w:cs="Arial"/>
        </w:rPr>
      </w:pPr>
    </w:p>
    <w:p>
      <w:pPr>
        <w:spacing w:after="0" w:line="240" w:lineRule="auto"/>
        <w:rPr>
          <w:rFonts w:ascii="Arial" w:eastAsia="Times New Roman" w:hAnsi="Arial" w:cs="Arial"/>
          <w:b/>
          <w:lang w:eastAsia="cs-CZ"/>
        </w:rPr>
      </w:pPr>
      <w:r>
        <w:rPr>
          <w:rFonts w:ascii="Arial" w:hAnsi="Arial" w:cs="Arial"/>
          <w:b/>
        </w:rPr>
        <w:br w:type="page"/>
      </w:r>
    </w:p>
    <w:p>
      <w:pPr>
        <w:pStyle w:val="Nadpis2"/>
        <w:spacing w:beforeLines="60" w:before="144" w:afterLines="60" w:after="144"/>
        <w:rPr>
          <w:rFonts w:ascii="Arial" w:hAnsi="Arial" w:cs="Arial"/>
          <w:b/>
          <w:bCs/>
          <w:color w:val="auto"/>
        </w:rPr>
      </w:pPr>
      <w:r>
        <w:rPr>
          <w:rFonts w:ascii="Arial" w:hAnsi="Arial" w:cs="Arial"/>
          <w:b/>
          <w:bCs/>
          <w:color w:val="auto"/>
        </w:rPr>
        <w:lastRenderedPageBreak/>
        <w:t>Příloha č. 4 Pravidla kybernetické bezpečnosti pro dodavatele</w:t>
      </w:r>
    </w:p>
    <w:p>
      <w:pPr>
        <w:pStyle w:val="Odstavecseseznamem"/>
        <w:spacing w:beforeLines="60" w:before="144" w:afterLines="60" w:after="144" w:line="240" w:lineRule="auto"/>
        <w:ind w:left="426" w:hanging="426"/>
        <w:contextualSpacing w:val="0"/>
        <w:rPr>
          <w:rFonts w:cs="Arial"/>
          <w:b/>
          <w:bCs/>
        </w:rPr>
      </w:pPr>
      <w:bookmarkStart w:id="120" w:name="_Ref151729318"/>
      <w:bookmarkStart w:id="121" w:name="_Ref151729304"/>
      <w:r>
        <w:rPr>
          <w:rFonts w:cs="Arial"/>
          <w:b/>
          <w:bCs/>
        </w:rPr>
        <w:t>Použité zkratky</w:t>
      </w:r>
    </w:p>
    <w:p>
      <w:pPr>
        <w:spacing w:after="0" w:line="240" w:lineRule="auto"/>
        <w:ind w:left="1416" w:hanging="1416"/>
        <w:jc w:val="both"/>
        <w:rPr>
          <w:rFonts w:cs="Arial"/>
        </w:rPr>
      </w:pPr>
      <w:r>
        <w:rPr>
          <w:rFonts w:cs="Arial"/>
          <w:b/>
          <w:bCs/>
        </w:rPr>
        <w:t>SOC</w:t>
      </w:r>
      <w:r>
        <w:rPr>
          <w:rFonts w:cs="Arial"/>
        </w:rPr>
        <w:tab/>
        <w:t>Bezpečnostní operační centrum – specializované pracoviště, které nepřetržitě monitoruje, detekuje, analyzuje a řeší bezpečnostní incidenty v IT prostředí organizace (</w:t>
      </w:r>
      <w:proofErr w:type="spellStart"/>
      <w:r>
        <w:rPr>
          <w:rFonts w:cs="Arial"/>
        </w:rPr>
        <w:t>Security</w:t>
      </w:r>
      <w:proofErr w:type="spellEnd"/>
      <w:r>
        <w:rPr>
          <w:rFonts w:cs="Arial"/>
        </w:rPr>
        <w:t xml:space="preserve"> </w:t>
      </w:r>
      <w:proofErr w:type="spellStart"/>
      <w:r>
        <w:rPr>
          <w:rFonts w:cs="Arial"/>
        </w:rPr>
        <w:t>Operations</w:t>
      </w:r>
      <w:proofErr w:type="spellEnd"/>
      <w:r>
        <w:rPr>
          <w:rFonts w:cs="Arial"/>
        </w:rPr>
        <w:t xml:space="preserve"> Center)</w:t>
      </w:r>
    </w:p>
    <w:p>
      <w:pPr>
        <w:spacing w:after="0" w:line="240" w:lineRule="auto"/>
        <w:ind w:left="1416" w:hanging="1416"/>
        <w:jc w:val="both"/>
        <w:rPr>
          <w:rFonts w:cs="Arial"/>
        </w:rPr>
      </w:pPr>
      <w:r>
        <w:rPr>
          <w:rFonts w:cs="Arial"/>
          <w:b/>
          <w:bCs/>
        </w:rPr>
        <w:t>HW</w:t>
      </w:r>
      <w:r>
        <w:rPr>
          <w:rFonts w:cs="Arial"/>
        </w:rPr>
        <w:tab/>
        <w:t>Hardware, fyzické komponenty počítače nebo zařízení, jako jsou procesory, paměti, disky či periferie.</w:t>
      </w:r>
    </w:p>
    <w:p>
      <w:pPr>
        <w:spacing w:after="0" w:line="240" w:lineRule="auto"/>
        <w:ind w:left="1416" w:hanging="1416"/>
        <w:jc w:val="both"/>
        <w:rPr>
          <w:rFonts w:cs="Arial"/>
        </w:rPr>
      </w:pPr>
      <w:r>
        <w:rPr>
          <w:rFonts w:cs="Arial"/>
          <w:b/>
          <w:bCs/>
        </w:rPr>
        <w:t>SW</w:t>
      </w:r>
      <w:r>
        <w:rPr>
          <w:rFonts w:cs="Arial"/>
        </w:rPr>
        <w:tab/>
        <w:t>Software, programové vybavení počítače.</w:t>
      </w:r>
    </w:p>
    <w:p>
      <w:pPr>
        <w:spacing w:after="0" w:line="240" w:lineRule="auto"/>
        <w:ind w:left="1416" w:hanging="1416"/>
        <w:jc w:val="both"/>
        <w:rPr>
          <w:rFonts w:cs="Arial"/>
        </w:rPr>
      </w:pPr>
      <w:r>
        <w:rPr>
          <w:rFonts w:cs="Arial"/>
          <w:b/>
          <w:bCs/>
        </w:rPr>
        <w:t>GDPR</w:t>
      </w:r>
      <w:r>
        <w:rPr>
          <w:rFonts w:cs="Arial"/>
        </w:rPr>
        <w:tab/>
        <w:t>Nařízení Evropského parlamentu a Rady (EU) 2016/679 ze dne 27. dubna 2016, o ochraně fyzických osob v souvislosti se zpracováním osobních údajů a o volném pohybu těchto údajů a o zrušení směrnice 95/46/ES (obecné nařízení o ochraně osobních údajů)</w:t>
      </w:r>
    </w:p>
    <w:p>
      <w:pPr>
        <w:spacing w:after="0" w:line="240" w:lineRule="auto"/>
        <w:jc w:val="both"/>
        <w:rPr>
          <w:rFonts w:cs="Arial"/>
        </w:rPr>
      </w:pPr>
      <w:r>
        <w:rPr>
          <w:rFonts w:cs="Arial"/>
          <w:b/>
          <w:bCs/>
        </w:rPr>
        <w:t>ISRS</w:t>
      </w:r>
      <w:r>
        <w:rPr>
          <w:rFonts w:cs="Arial"/>
        </w:rPr>
        <w:tab/>
      </w:r>
      <w:r>
        <w:rPr>
          <w:rFonts w:cs="Arial"/>
        </w:rPr>
        <w:tab/>
        <w:t>Informační systém regulované služby.</w:t>
      </w:r>
    </w:p>
    <w:p>
      <w:pPr>
        <w:spacing w:after="0" w:line="240" w:lineRule="auto"/>
        <w:ind w:left="1416" w:hanging="1416"/>
        <w:jc w:val="both"/>
        <w:rPr>
          <w:rFonts w:cs="Arial"/>
        </w:rPr>
      </w:pPr>
      <w:r>
        <w:rPr>
          <w:rFonts w:cs="Arial"/>
          <w:b/>
          <w:bCs/>
        </w:rPr>
        <w:t>SLA</w:t>
      </w:r>
      <w:r>
        <w:rPr>
          <w:rFonts w:cs="Arial"/>
        </w:rPr>
        <w:tab/>
        <w:t xml:space="preserve">Service level </w:t>
      </w:r>
      <w:proofErr w:type="spellStart"/>
      <w:r>
        <w:rPr>
          <w:rFonts w:cs="Arial"/>
        </w:rPr>
        <w:t>Agreement</w:t>
      </w:r>
      <w:proofErr w:type="spellEnd"/>
      <w:r>
        <w:rPr>
          <w:rFonts w:cs="Arial"/>
        </w:rPr>
        <w:t xml:space="preserve"> – Úroveň poskytovaných služeb, včetně dostupnosti, reakčních dob a odpovědností dodavatele stanovených v čl. V Smlouvy </w:t>
      </w:r>
    </w:p>
    <w:p>
      <w:pPr>
        <w:spacing w:after="0" w:line="240" w:lineRule="auto"/>
        <w:ind w:left="1416" w:hanging="1416"/>
        <w:jc w:val="both"/>
        <w:rPr>
          <w:rFonts w:cs="Arial"/>
        </w:rPr>
      </w:pPr>
      <w:r>
        <w:rPr>
          <w:rFonts w:cs="Arial"/>
          <w:b/>
          <w:bCs/>
        </w:rPr>
        <w:t>VPN</w:t>
      </w:r>
      <w:r>
        <w:rPr>
          <w:rFonts w:cs="Arial"/>
        </w:rPr>
        <w:tab/>
        <w:t>Virtuální privátní síť umožňující bezpečné šifrované spojení mezi uživatelem a vzdálenou sítí.</w:t>
      </w:r>
    </w:p>
    <w:p>
      <w:pPr>
        <w:spacing w:after="0" w:line="240" w:lineRule="auto"/>
        <w:ind w:left="1416" w:hanging="1416"/>
        <w:jc w:val="both"/>
        <w:rPr>
          <w:rFonts w:cs="Arial"/>
        </w:rPr>
      </w:pPr>
      <w:r>
        <w:rPr>
          <w:rFonts w:cs="Arial"/>
          <w:b/>
          <w:bCs/>
        </w:rPr>
        <w:t>VKB</w:t>
      </w:r>
      <w:r>
        <w:rPr>
          <w:rFonts w:cs="Arial"/>
        </w:rPr>
        <w:tab/>
        <w:t>Vyhláška č. 410/2025 Sb., o bezpečnostních opatřeních poskytovatele regulované služby v režimu nižších povinností.</w:t>
      </w:r>
    </w:p>
    <w:p>
      <w:pPr>
        <w:spacing w:after="0" w:line="240" w:lineRule="auto"/>
        <w:jc w:val="both"/>
        <w:rPr>
          <w:rFonts w:cs="Arial"/>
        </w:rPr>
      </w:pPr>
      <w:r>
        <w:rPr>
          <w:rFonts w:cs="Arial"/>
          <w:b/>
          <w:bCs/>
        </w:rPr>
        <w:t>ZKB</w:t>
      </w:r>
      <w:r>
        <w:rPr>
          <w:rFonts w:cs="Arial"/>
          <w:b/>
          <w:bCs/>
        </w:rPr>
        <w:tab/>
      </w:r>
      <w:r>
        <w:rPr>
          <w:rFonts w:cs="Arial"/>
        </w:rPr>
        <w:tab/>
        <w:t>Zákon č. 264/2025 Sb., o kybernetické bezpečnosti</w:t>
      </w:r>
    </w:p>
    <w:p>
      <w:pPr>
        <w:spacing w:after="0" w:line="240" w:lineRule="auto"/>
        <w:jc w:val="both"/>
        <w:rPr>
          <w:rFonts w:cs="Arial"/>
        </w:rPr>
      </w:pPr>
      <w:r>
        <w:rPr>
          <w:rFonts w:cs="Arial"/>
          <w:b/>
          <w:bCs/>
        </w:rPr>
        <w:t>ZZOÚ</w:t>
      </w:r>
      <w:r>
        <w:rPr>
          <w:rFonts w:cs="Arial"/>
        </w:rPr>
        <w:tab/>
      </w:r>
      <w:r>
        <w:rPr>
          <w:rFonts w:cs="Arial"/>
        </w:rPr>
        <w:tab/>
        <w:t>Zákon č. 110/2019 Sb., o zpracování osobních údajů</w:t>
      </w:r>
    </w:p>
    <w:p>
      <w:pPr>
        <w:pStyle w:val="Odstavecseseznamem"/>
        <w:spacing w:beforeLines="60" w:before="144" w:afterLines="60" w:after="144" w:line="240" w:lineRule="auto"/>
        <w:ind w:left="644" w:hanging="360"/>
        <w:contextualSpacing w:val="0"/>
        <w:rPr>
          <w:rFonts w:cs="Arial"/>
          <w:b/>
          <w:bCs/>
        </w:rPr>
      </w:pPr>
    </w:p>
    <w:p>
      <w:pPr>
        <w:pStyle w:val="Odstavecseseznamem"/>
        <w:spacing w:beforeLines="60" w:before="144" w:afterLines="60" w:after="144" w:line="240" w:lineRule="auto"/>
        <w:ind w:left="644" w:hanging="360"/>
        <w:contextualSpacing w:val="0"/>
        <w:rPr>
          <w:rFonts w:cs="Arial"/>
          <w:b/>
          <w:bCs/>
        </w:rPr>
      </w:pPr>
      <w:r>
        <w:rPr>
          <w:rFonts w:cs="Arial"/>
          <w:b/>
          <w:bCs/>
        </w:rPr>
        <w:t>Dodavatel je při plnění Smlouvy povinen dodržet:</w:t>
      </w:r>
      <w:bookmarkEnd w:id="120"/>
    </w:p>
    <w:p>
      <w:pPr>
        <w:pStyle w:val="Nadpis1"/>
        <w:numPr>
          <w:ilvl w:val="0"/>
          <w:numId w:val="10"/>
        </w:numPr>
        <w:tabs>
          <w:tab w:val="num" w:pos="0"/>
        </w:tabs>
        <w:spacing w:beforeLines="60" w:before="144" w:afterLines="60" w:after="144"/>
        <w:ind w:left="360"/>
        <w:jc w:val="both"/>
        <w:rPr>
          <w:rFonts w:ascii="Arial" w:hAnsi="Arial" w:cs="Arial"/>
          <w:b/>
          <w:bCs/>
          <w:color w:val="auto"/>
          <w:sz w:val="22"/>
          <w:szCs w:val="22"/>
        </w:rPr>
      </w:pPr>
      <w:r>
        <w:rPr>
          <w:rFonts w:ascii="Arial" w:hAnsi="Arial" w:cs="Arial"/>
          <w:b/>
          <w:bCs/>
          <w:color w:val="auto"/>
          <w:sz w:val="22"/>
          <w:szCs w:val="22"/>
        </w:rPr>
        <w:t xml:space="preserve">Ustanovení o bezpečnosti informací </w:t>
      </w:r>
      <w:bookmarkEnd w:id="121"/>
      <w:r>
        <w:rPr>
          <w:rFonts w:ascii="Arial" w:hAnsi="Arial" w:cs="Arial"/>
          <w:b/>
          <w:bCs/>
          <w:color w:val="auto"/>
          <w:sz w:val="22"/>
          <w:szCs w:val="22"/>
        </w:rPr>
        <w:t>z pohledu důvěrnosti, integrity a dostupnosti</w:t>
      </w:r>
    </w:p>
    <w:p>
      <w:pPr>
        <w:pStyle w:val="Odstavecseseznamem"/>
        <w:numPr>
          <w:ilvl w:val="1"/>
          <w:numId w:val="9"/>
        </w:numPr>
        <w:suppressAutoHyphens w:val="0"/>
        <w:spacing w:beforeLines="60" w:before="144" w:afterLines="60" w:after="144" w:line="240" w:lineRule="auto"/>
        <w:ind w:left="284" w:hanging="284"/>
        <w:jc w:val="both"/>
        <w:rPr>
          <w:rFonts w:cs="Arial"/>
        </w:rPr>
      </w:pPr>
      <w:r>
        <w:rPr>
          <w:rFonts w:cs="Arial"/>
        </w:rPr>
        <w:t xml:space="preserve">Dodavatel v rámci řízení přístupů k technickým aktivům Objednatele zajistí následující:  </w:t>
      </w:r>
    </w:p>
    <w:p>
      <w:pPr>
        <w:pStyle w:val="Odstavecseseznamem"/>
        <w:numPr>
          <w:ilvl w:val="1"/>
          <w:numId w:val="5"/>
        </w:numPr>
        <w:suppressAutoHyphens w:val="0"/>
        <w:spacing w:beforeLines="60" w:before="144" w:afterLines="60" w:after="144" w:line="276" w:lineRule="auto"/>
        <w:jc w:val="both"/>
        <w:rPr>
          <w:rFonts w:cs="Arial"/>
        </w:rPr>
      </w:pPr>
      <w:r>
        <w:rPr>
          <w:rFonts w:cs="Arial"/>
        </w:rPr>
        <w:t>přístup k určeným technickým aktivům Objednatele bude realizován výhradně prostřednictvím zabezpečeného připojení (VPN), na základě oboustranně vydefinovaných podmínek vzdáleného přístupu k aktivům Objednatele a po předchozí výzvě Objednatele na dobu nezbytně nutnou, nebude-li dohodnuto jinak,</w:t>
      </w:r>
    </w:p>
    <w:p>
      <w:pPr>
        <w:pStyle w:val="Odstavecseseznamem"/>
        <w:numPr>
          <w:ilvl w:val="1"/>
          <w:numId w:val="5"/>
        </w:numPr>
        <w:suppressAutoHyphens w:val="0"/>
        <w:spacing w:beforeLines="60" w:before="144" w:afterLines="60" w:after="144" w:line="276" w:lineRule="auto"/>
        <w:jc w:val="both"/>
        <w:rPr>
          <w:rFonts w:cs="Arial"/>
        </w:rPr>
      </w:pPr>
      <w:r>
        <w:rPr>
          <w:rFonts w:cs="Arial"/>
        </w:rPr>
        <w:t xml:space="preserve">ke zpřístupněným aktivům objednatele určí příslušné administrátory, jejichž seznam předá organizací a v případě změny jej u Objednatele předem aktualizuje, </w:t>
      </w:r>
    </w:p>
    <w:p>
      <w:pPr>
        <w:pStyle w:val="Odstavecseseznamem"/>
        <w:numPr>
          <w:ilvl w:val="1"/>
          <w:numId w:val="5"/>
        </w:numPr>
        <w:suppressAutoHyphens w:val="0"/>
        <w:spacing w:beforeLines="60" w:before="144" w:afterLines="60" w:after="144" w:line="276" w:lineRule="auto"/>
        <w:jc w:val="both"/>
        <w:rPr>
          <w:rFonts w:cs="Arial"/>
        </w:rPr>
      </w:pPr>
      <w:r>
        <w:rPr>
          <w:rFonts w:cs="Arial"/>
        </w:rPr>
        <w:t>o vlastní zpřístupnění aktiva požádá určený administrátor Dodavatele,</w:t>
      </w:r>
    </w:p>
    <w:p>
      <w:pPr>
        <w:pStyle w:val="Odstavecseseznamem"/>
        <w:numPr>
          <w:ilvl w:val="1"/>
          <w:numId w:val="5"/>
        </w:numPr>
        <w:suppressAutoHyphens w:val="0"/>
        <w:spacing w:beforeLines="60" w:before="144" w:afterLines="60" w:after="144" w:line="276" w:lineRule="auto"/>
        <w:jc w:val="both"/>
        <w:rPr>
          <w:rFonts w:cs="Arial"/>
        </w:rPr>
      </w:pPr>
      <w:r>
        <w:rPr>
          <w:rFonts w:cs="Arial"/>
        </w:rPr>
        <w:t xml:space="preserve">zaměstnanci Dodavatele s přiděleným přístupem k technickým aktivům Dodavatele mohou tato privilegovaná přístupová oprávnění použít pouze v opodstatněných případech k výkonu činností, pro které je toto oprávnění nezbytné. Pro běžnou komunikaci s Objednatelem jsou povinni použít standardní uživatelský účet. </w:t>
      </w:r>
    </w:p>
    <w:p>
      <w:pPr>
        <w:pStyle w:val="Odstavecseseznamem"/>
        <w:numPr>
          <w:ilvl w:val="1"/>
          <w:numId w:val="5"/>
        </w:numPr>
        <w:suppressAutoHyphens w:val="0"/>
        <w:spacing w:beforeLines="60" w:before="144" w:afterLines="60" w:after="144" w:line="276" w:lineRule="auto"/>
        <w:jc w:val="both"/>
        <w:rPr>
          <w:rFonts w:cs="Arial"/>
        </w:rPr>
      </w:pPr>
      <w:r>
        <w:rPr>
          <w:rFonts w:cs="Arial"/>
        </w:rPr>
        <w:t>udělený přístup nesmí být sdílen více zaměstnanci Dodavatele nebo Poddodavatele. Objednatel se zavazuje k zajištění přístupu pro každého pověřeného zaměstnance Dodavatele nebo Poddodavatele samostatně.</w:t>
      </w:r>
    </w:p>
    <w:p>
      <w:pPr>
        <w:pStyle w:val="Odstavecseseznamem"/>
        <w:numPr>
          <w:ilvl w:val="1"/>
          <w:numId w:val="5"/>
        </w:numPr>
        <w:suppressAutoHyphens w:val="0"/>
        <w:spacing w:beforeLines="60" w:before="144" w:afterLines="60" w:after="144" w:line="276" w:lineRule="auto"/>
        <w:jc w:val="both"/>
        <w:rPr>
          <w:rFonts w:cs="Arial"/>
        </w:rPr>
      </w:pPr>
      <w:r>
        <w:rPr>
          <w:rFonts w:cs="Arial"/>
        </w:rPr>
        <w:t xml:space="preserve">každý administrátor je povinen přistupovat k zpřístupněným aktivům svým jedinečným přihlašovacím jménem a v případě, že nelze zabezpečit </w:t>
      </w:r>
      <w:proofErr w:type="spellStart"/>
      <w:r>
        <w:rPr>
          <w:rFonts w:cs="Arial"/>
        </w:rPr>
        <w:t>multifaktorovou</w:t>
      </w:r>
      <w:proofErr w:type="spellEnd"/>
      <w:r>
        <w:rPr>
          <w:rFonts w:cs="Arial"/>
        </w:rPr>
        <w:t xml:space="preserve"> autentizaci, heslem splňujícím min. následující podmínky:</w:t>
      </w:r>
    </w:p>
    <w:p>
      <w:pPr>
        <w:pStyle w:val="Odstavecseseznamem"/>
        <w:numPr>
          <w:ilvl w:val="1"/>
          <w:numId w:val="6"/>
        </w:numPr>
        <w:suppressAutoHyphens w:val="0"/>
        <w:spacing w:beforeLines="60" w:before="144" w:afterLines="60" w:after="144" w:line="240" w:lineRule="auto"/>
        <w:jc w:val="both"/>
        <w:rPr>
          <w:rFonts w:cs="Arial"/>
        </w:rPr>
      </w:pPr>
      <w:r>
        <w:rPr>
          <w:rFonts w:cs="Arial"/>
        </w:rPr>
        <w:t>minimální délka hesla: 17 znaků u privilegovaných účtů,</w:t>
      </w:r>
    </w:p>
    <w:p>
      <w:pPr>
        <w:pStyle w:val="Odstavecseseznamem"/>
        <w:numPr>
          <w:ilvl w:val="1"/>
          <w:numId w:val="6"/>
        </w:numPr>
        <w:suppressAutoHyphens w:val="0"/>
        <w:spacing w:beforeLines="60" w:before="144" w:afterLines="60" w:after="144" w:line="240" w:lineRule="auto"/>
        <w:jc w:val="both"/>
        <w:rPr>
          <w:rFonts w:cs="Arial"/>
        </w:rPr>
      </w:pPr>
      <w:r>
        <w:rPr>
          <w:rFonts w:cs="Arial"/>
        </w:rPr>
        <w:t>heslo musí obsahovat alespoň 4 ze 4 skupin znaků (malá písmena, velká písmena, číslice nebo speciální znaky),</w:t>
      </w:r>
    </w:p>
    <w:p>
      <w:pPr>
        <w:pStyle w:val="Odstavecseseznamem"/>
        <w:numPr>
          <w:ilvl w:val="1"/>
          <w:numId w:val="6"/>
        </w:numPr>
        <w:suppressAutoHyphens w:val="0"/>
        <w:spacing w:beforeLines="60" w:before="144" w:afterLines="60" w:after="144" w:line="240" w:lineRule="auto"/>
        <w:jc w:val="both"/>
        <w:rPr>
          <w:rFonts w:cs="Arial"/>
        </w:rPr>
      </w:pPr>
      <w:r>
        <w:rPr>
          <w:rFonts w:cs="Arial"/>
        </w:rPr>
        <w:t>maximální platnost hesla: 12 měsíců.</w:t>
      </w:r>
    </w:p>
    <w:p>
      <w:pPr>
        <w:pStyle w:val="Odstavecseseznamem"/>
        <w:numPr>
          <w:ilvl w:val="1"/>
          <w:numId w:val="5"/>
        </w:numPr>
        <w:suppressAutoHyphens w:val="0"/>
        <w:spacing w:beforeLines="60" w:before="144" w:afterLines="60" w:after="144" w:line="276" w:lineRule="auto"/>
        <w:jc w:val="both"/>
        <w:rPr>
          <w:rFonts w:cs="Arial"/>
        </w:rPr>
      </w:pPr>
      <w:r>
        <w:rPr>
          <w:rFonts w:cs="Arial"/>
        </w:rPr>
        <w:lastRenderedPageBreak/>
        <w:t xml:space="preserve">zaznamenávat přihlášení, odhlášení a činnosti administrátorů. Záznamy o přístupech administrátorů je Dodavatel povinen kontrolovat min 1x za měsíc, uchovávat je po dobu minimálně 6 měsíců a na vyžádání je předat Objednateli. </w:t>
      </w:r>
    </w:p>
    <w:p>
      <w:pPr>
        <w:pStyle w:val="Odstavecseseznamem"/>
        <w:numPr>
          <w:ilvl w:val="1"/>
          <w:numId w:val="9"/>
        </w:numPr>
        <w:suppressAutoHyphens w:val="0"/>
        <w:spacing w:beforeLines="60" w:before="144" w:afterLines="60" w:after="144" w:line="240" w:lineRule="auto"/>
        <w:ind w:left="284" w:hanging="284"/>
        <w:jc w:val="both"/>
        <w:rPr>
          <w:rFonts w:cs="Arial"/>
        </w:rPr>
      </w:pPr>
      <w:r>
        <w:rPr>
          <w:rFonts w:cs="Arial"/>
        </w:rPr>
        <w:t>Dodavateli je zakázáno provádět pokusy o neautorizovaný přístup ke zdrojům Objednatele a má zákaz realizovat pokusy o neoprávněnou modifikaci nebo jiné neoprávněné zásahy do technických aktiv Objednatele. Dodavatel bere na vědomí, že v případě neúspěšných pokusů o autentizaci uživatele bude příslušný účet zablokován a řešen ze strany Objednatele jako kybernetický bezpečnostní incident.</w:t>
      </w:r>
    </w:p>
    <w:p>
      <w:pPr>
        <w:pStyle w:val="Odstavecseseznamem"/>
        <w:numPr>
          <w:ilvl w:val="1"/>
          <w:numId w:val="9"/>
        </w:numPr>
        <w:suppressAutoHyphens w:val="0"/>
        <w:spacing w:beforeLines="60" w:before="144" w:afterLines="60" w:after="144" w:line="240" w:lineRule="auto"/>
        <w:ind w:left="284" w:hanging="284"/>
        <w:jc w:val="both"/>
        <w:rPr>
          <w:rFonts w:cs="Arial"/>
        </w:rPr>
      </w:pPr>
      <w:r>
        <w:rPr>
          <w:rFonts w:cs="Arial"/>
        </w:rPr>
        <w:t>Dodavatel je povinen u prostředků používaných pro přístup k aktivům Objednatele dodržet minimálně tato bezpečnostní opatření:</w:t>
      </w:r>
    </w:p>
    <w:p>
      <w:pPr>
        <w:pStyle w:val="Odstavecseseznamem"/>
        <w:numPr>
          <w:ilvl w:val="0"/>
          <w:numId w:val="11"/>
        </w:numPr>
        <w:suppressAutoHyphens w:val="0"/>
        <w:spacing w:beforeLines="60" w:before="144" w:afterLines="60" w:after="144" w:line="276" w:lineRule="auto"/>
        <w:jc w:val="both"/>
        <w:rPr>
          <w:rFonts w:cs="Arial"/>
        </w:rPr>
      </w:pPr>
      <w:r>
        <w:rPr>
          <w:rFonts w:cs="Arial"/>
        </w:rPr>
        <w:t xml:space="preserve">k servisním zásahům nebo kontrole technického aktiva smí Dodavatel používat pouze zařízení, které je vybaveno podporovaným operačním systémem, antivirovým programem s aktuální virovou databází a má provedeny veškeré dostupné aktualizace tohoto systému, </w:t>
      </w:r>
    </w:p>
    <w:p>
      <w:pPr>
        <w:pStyle w:val="Odstavecseseznamem"/>
        <w:numPr>
          <w:ilvl w:val="0"/>
          <w:numId w:val="11"/>
        </w:numPr>
        <w:suppressAutoHyphens w:val="0"/>
        <w:spacing w:beforeLines="60" w:before="144" w:afterLines="60" w:after="144" w:line="276" w:lineRule="auto"/>
        <w:jc w:val="both"/>
        <w:rPr>
          <w:rFonts w:cs="Arial"/>
        </w:rPr>
      </w:pPr>
      <w:r>
        <w:rPr>
          <w:rFonts w:cs="Arial"/>
        </w:rPr>
        <w:t>zajistit ochranu používaného zařízení před neoprávněným přístupem nebo manipulací,</w:t>
      </w:r>
    </w:p>
    <w:p>
      <w:pPr>
        <w:pStyle w:val="Odstavecseseznamem"/>
        <w:numPr>
          <w:ilvl w:val="0"/>
          <w:numId w:val="11"/>
        </w:numPr>
        <w:suppressAutoHyphens w:val="0"/>
        <w:spacing w:beforeLines="60" w:before="144" w:afterLines="60" w:after="144" w:line="240" w:lineRule="auto"/>
        <w:ind w:hanging="357"/>
        <w:contextualSpacing w:val="0"/>
        <w:jc w:val="both"/>
        <w:rPr>
          <w:rFonts w:cs="Arial"/>
        </w:rPr>
      </w:pPr>
      <w:r>
        <w:rPr>
          <w:rFonts w:cs="Arial"/>
        </w:rPr>
        <w:t>data, která jsou u Dodavatele případně, po schválení Objednatelem, ukládána, musí být šifrována.</w:t>
      </w:r>
    </w:p>
    <w:p>
      <w:pPr>
        <w:pStyle w:val="Odstavecseseznamem"/>
        <w:numPr>
          <w:ilvl w:val="1"/>
          <w:numId w:val="9"/>
        </w:numPr>
        <w:suppressAutoHyphens w:val="0"/>
        <w:spacing w:beforeLines="60" w:before="144" w:afterLines="60" w:after="144" w:line="240" w:lineRule="auto"/>
        <w:ind w:left="284" w:hanging="284"/>
        <w:jc w:val="both"/>
        <w:rPr>
          <w:rFonts w:cs="Arial"/>
        </w:rPr>
      </w:pPr>
      <w:r>
        <w:rPr>
          <w:rFonts w:cs="Arial"/>
        </w:rPr>
        <w:t>Dodavatel pro zajištění provozní a komunikační bezpečnosti je povinen:</w:t>
      </w:r>
    </w:p>
    <w:p>
      <w:pPr>
        <w:pStyle w:val="Odstavecseseznamem"/>
        <w:numPr>
          <w:ilvl w:val="0"/>
          <w:numId w:val="7"/>
        </w:numPr>
        <w:suppressAutoHyphens w:val="0"/>
        <w:spacing w:beforeLines="60" w:before="144" w:afterLines="60" w:after="144" w:line="276" w:lineRule="auto"/>
        <w:jc w:val="both"/>
        <w:rPr>
          <w:rFonts w:cs="Arial"/>
        </w:rPr>
      </w:pPr>
      <w:r>
        <w:rPr>
          <w:rFonts w:cs="Arial"/>
        </w:rPr>
        <w:t>Provádět pravidelné sledování a analýzy technických zranitelností a následné ošetření slabin technických a programových prostředků. Pro proces řízení a správy technických zranitelností musí mít určeny role a odpovědnosti.</w:t>
      </w:r>
    </w:p>
    <w:p>
      <w:pPr>
        <w:pStyle w:val="Odstavecseseznamem"/>
        <w:numPr>
          <w:ilvl w:val="0"/>
          <w:numId w:val="7"/>
        </w:numPr>
        <w:suppressAutoHyphens w:val="0"/>
        <w:spacing w:beforeLines="60" w:before="144" w:afterLines="60" w:after="144" w:line="276" w:lineRule="auto"/>
        <w:jc w:val="both"/>
        <w:rPr>
          <w:rFonts w:cs="Arial"/>
        </w:rPr>
      </w:pPr>
      <w:r>
        <w:rPr>
          <w:rFonts w:cs="Arial"/>
        </w:rPr>
        <w:t>Zajistit, že programové vybavení Dodavatele na zařízeních používaných pro plnění Předmětu Smlouvy bude instalováno v aktuální verzi a bude mít implementovány aktuální bezpečnostní záplaty pro danou technologii.</w:t>
      </w:r>
    </w:p>
    <w:p>
      <w:pPr>
        <w:pStyle w:val="Odstavecseseznamem"/>
        <w:numPr>
          <w:ilvl w:val="0"/>
          <w:numId w:val="7"/>
        </w:numPr>
        <w:suppressAutoHyphens w:val="0"/>
        <w:spacing w:beforeLines="60" w:before="144" w:afterLines="60" w:after="144" w:line="276" w:lineRule="auto"/>
        <w:jc w:val="both"/>
        <w:rPr>
          <w:rFonts w:cs="Arial"/>
        </w:rPr>
      </w:pPr>
      <w:r>
        <w:rPr>
          <w:rFonts w:cs="Arial"/>
        </w:rPr>
        <w:t xml:space="preserve">Provádět pravidelně aktualizace dodávaného programového vybavení a ostatních podpůrných komponent v nejbližší možné době po vydání aktualizace nebo neprodleně po zveřejnění zneužitelných zranitelností: </w:t>
      </w:r>
    </w:p>
    <w:p>
      <w:pPr>
        <w:pStyle w:val="Odstavecseseznamem"/>
        <w:numPr>
          <w:ilvl w:val="1"/>
          <w:numId w:val="6"/>
        </w:numPr>
        <w:suppressAutoHyphens w:val="0"/>
        <w:spacing w:beforeLines="60" w:before="144" w:afterLines="60" w:after="144" w:line="240" w:lineRule="auto"/>
        <w:jc w:val="both"/>
        <w:rPr>
          <w:rFonts w:cs="Arial"/>
        </w:rPr>
      </w:pPr>
      <w:r>
        <w:rPr>
          <w:rFonts w:cs="Arial"/>
        </w:rPr>
        <w:t>Pokud pro aktualizaci bude nutný restart operačního systému nebo aplikace, plánovaný termín výpadku bude předložen Objednateli ke schválení.</w:t>
      </w:r>
    </w:p>
    <w:p>
      <w:pPr>
        <w:pStyle w:val="Odstavecseseznamem"/>
        <w:numPr>
          <w:ilvl w:val="1"/>
          <w:numId w:val="6"/>
        </w:numPr>
        <w:suppressAutoHyphens w:val="0"/>
        <w:spacing w:beforeLines="60" w:before="144" w:afterLines="60" w:after="144" w:line="240" w:lineRule="auto"/>
        <w:jc w:val="both"/>
        <w:rPr>
          <w:rFonts w:cs="Arial"/>
        </w:rPr>
      </w:pPr>
      <w:r>
        <w:rPr>
          <w:rFonts w:cs="Arial"/>
        </w:rPr>
        <w:t xml:space="preserve">Dodavatel je povinen instalovat aktualizace pouze v případě, že byly řádně otestovány Dodavatelem v jeho vlastním testovacím prostředí a na základě výsledků testování jsou považovány za použitelné. </w:t>
      </w:r>
    </w:p>
    <w:p>
      <w:pPr>
        <w:pStyle w:val="Odstavecseseznamem"/>
        <w:numPr>
          <w:ilvl w:val="0"/>
          <w:numId w:val="7"/>
        </w:numPr>
        <w:suppressAutoHyphens w:val="0"/>
        <w:spacing w:beforeLines="60" w:before="144" w:afterLines="60" w:after="144" w:line="276" w:lineRule="auto"/>
        <w:jc w:val="both"/>
        <w:rPr>
          <w:rFonts w:cs="Arial"/>
        </w:rPr>
      </w:pPr>
      <w:r>
        <w:rPr>
          <w:rFonts w:cs="Arial"/>
        </w:rPr>
        <w:t>Zajistit, že software bude dostupný v souladu s dohodnutými parametry SLA, uvedenými ve Smlouvě a zároveň musí zajistit mechanismy pro pravidelné zálohování, obnovu dat a pokračování provozu v případě výpadků nebo havárií.</w:t>
      </w:r>
    </w:p>
    <w:p>
      <w:pPr>
        <w:pStyle w:val="Odstavecseseznamem"/>
        <w:numPr>
          <w:ilvl w:val="0"/>
          <w:numId w:val="7"/>
        </w:numPr>
        <w:suppressAutoHyphens w:val="0"/>
        <w:spacing w:beforeLines="60" w:before="144" w:afterLines="60" w:after="144" w:line="276" w:lineRule="auto"/>
        <w:jc w:val="both"/>
        <w:rPr>
          <w:rFonts w:cs="Arial"/>
        </w:rPr>
      </w:pPr>
      <w:r>
        <w:rPr>
          <w:rFonts w:cs="Arial"/>
        </w:rPr>
        <w:t>Zajistit provádění autentizované synchronizace času.</w:t>
      </w:r>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Vytvořit a průběžně aktualizovat Plán zálohování aktiv, souvisejících s plněním Dodavatele, který bude obsahovat zálohované prostředky, zálohovací média, periodu, způsob zálohování a způsoby ověřování záloh. Minimální doba aktualizace Plánu zálohování je jeden rok.</w:t>
      </w:r>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Udržovat aktuální provozní dokumentaci technických a programových prostředků související s plněním Smlouvy. Provozní dokumentace mimo jiné musí obsahovat postupy pro spuštění a ukončení chodu systému, restart nebo jeho obnovu v případě selhání systému, nestandardního stavu nebo po kybernetickém bezpečnostním incidentu. V případě aktualizace provozní dokumentace je Dodavatel povinen, informovat Objednatele a aktuální verzi předat minimálně jednou do roka.</w:t>
      </w:r>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Dodavateli je zakázáno provádět jakoukoliv formou monitorování síťové komunikace, které neslouží k plnění Předmětu Smlouvy s Objednatelem. Případná identifikace takovéhoto monitoringu bude vždy ze strany Objednatele řešeno jako kybernetický bezpečnostní incident.</w:t>
      </w:r>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lastRenderedPageBreak/>
        <w:t>Poskytnout plnou součinnost Objednateli při provádění předem ohlášených bezpečnostních testů, testování zranitelností apod.</w:t>
      </w:r>
    </w:p>
    <w:p>
      <w:pPr>
        <w:pStyle w:val="Odstavecseseznamem"/>
        <w:numPr>
          <w:ilvl w:val="1"/>
          <w:numId w:val="9"/>
        </w:numPr>
        <w:suppressAutoHyphens w:val="0"/>
        <w:spacing w:before="60" w:after="60" w:line="276" w:lineRule="auto"/>
        <w:ind w:left="284" w:hanging="284"/>
        <w:contextualSpacing w:val="0"/>
        <w:jc w:val="both"/>
        <w:rPr>
          <w:rFonts w:cs="Arial"/>
        </w:rPr>
      </w:pPr>
      <w:bookmarkStart w:id="122" w:name="_Ref151732441"/>
      <w:r>
        <w:rPr>
          <w:rFonts w:cs="Arial"/>
        </w:rPr>
        <w:t>Průběžně detekovat obecné bezpečnostní hrozby a zranitelnosti v aktivech souvisejících s předmětem plnění Smlouvy, a dále sledovat ty hrozby a zranitelnosti, o kterých Objednatel Dodavatele prokazatelně informuje (např. v rámci penetračního testování). O zjištěných skutečnostech je Dodavatel povinen bez zbytečného odkladu informovat Objednatele. Detekované bezpečnostní zranitelnosti musí být Dodavatelem vyhodnoceny a musí být navržena nápravná opatření. Nápravná opatření musí být před jejich implementací oboustranně schválena.</w:t>
      </w:r>
      <w:bookmarkEnd w:id="122"/>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 xml:space="preserve">Prověřit a poskytnout garanci, že dodaný SF a HW neobsahuje žádné funkce typu </w:t>
      </w:r>
      <w:proofErr w:type="spellStart"/>
      <w:r>
        <w:rPr>
          <w:rFonts w:cs="Arial"/>
        </w:rPr>
        <w:t>backdoor</w:t>
      </w:r>
      <w:proofErr w:type="spellEnd"/>
      <w:r>
        <w:rPr>
          <w:rFonts w:cs="Arial"/>
        </w:rPr>
        <w:t>, které by umožnily neoprávněný přístup, sběr dat nebo manipulaci se systémem bez vědomí Objednatele.</w:t>
      </w:r>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Všichni pracovníci Dodavatele, kteří se podílí na plnění předmětu Smlouvy, musí být Dodavatelem prokazatelně seznámeni s bezpečnostními požadavky Objednatele týkající se plnění předmětu Smlouvy (zejména s pravidly kybernetické bezpečnosti, která tvoří tuto přílohu Smlouvy). Evidenci o absolvovaném školení vede Dodavatel formou prezenčních listin, v případě, že je školení zajišťováno ze strany Objednatele, tuto evidenci vede Objednatel.</w:t>
      </w:r>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Zajistit dostatečnou zastupitelnost klíčových pracovníků podílejících se na plnění předmětu Smlouvy.</w:t>
      </w:r>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 xml:space="preserve">Vést a na požadavek Objednatele zpřístupnit aktualizovaný seznam aktiv, která spadají do rozsahu plnění předmětu Smlouvy. </w:t>
      </w:r>
      <w:bookmarkStart w:id="123" w:name="_Ref151737915"/>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Při jakékoli instalaci SW, HW nebo jejich upgrade Objednatele nebo pro realizaci předmětu plnění u Objednatele, a to i při zavedení plánované změny, postupovat v souladu s pravidly uvedenými v této příloze Smlouvy.</w:t>
      </w:r>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 xml:space="preserve">Zachovávat důvěrnost všech informací poskytnutých Objednatelem v souvislosti s dodávkou, instalací, konfigurací, provozem a údržbou SW a HW. Tyto informace nesmí být bez písemného souhlasu Objednatele zpřístupněny třetím stranám, využívány k jinému účelu ani uchovávány nad rámec nezbytné doby. </w:t>
      </w:r>
      <w:bookmarkEnd w:id="123"/>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Nezneužít jakoukoliv důvěrnou informaci či osobní údaj, s nimiž přijde do styku při realizaci předmětu Smlouvy, a ani neumožní toto zneužití třetí osobě. Dodavatel bude respektovat bezpečnostní požadavky Objednatele k zajištění ochrany osobních údajů klientů a zaměstnanců Objednatele a dále se nebude seznamovat s osobními údaji klientů či zaměstnanců Objednatele. Rovněž tímto omezením smluvně zaváže své případné Poddodavatele, které by použil při realizaci plnění předmětu této Smlouvy. Dodavatel přijme bezpečnostní opatření k zajištění ochrany osobních údajů pacientů a zaměstnanců Objednatele před jejich zneužitím či únikem prostřednictvím svých zaměstnanců či Poddodavatelů, pokud by se s nimi přes výše uvedený zákaz seznámili.</w:t>
      </w:r>
    </w:p>
    <w:p>
      <w:pPr>
        <w:pStyle w:val="Odstavecseseznamem"/>
        <w:numPr>
          <w:ilvl w:val="1"/>
          <w:numId w:val="9"/>
        </w:numPr>
        <w:suppressAutoHyphens w:val="0"/>
        <w:spacing w:before="60" w:after="60" w:line="240" w:lineRule="auto"/>
        <w:ind w:left="284" w:hanging="284"/>
        <w:contextualSpacing w:val="0"/>
        <w:jc w:val="both"/>
        <w:rPr>
          <w:rFonts w:cs="Arial"/>
        </w:rPr>
      </w:pPr>
      <w:r>
        <w:rPr>
          <w:rFonts w:cs="Arial"/>
        </w:rPr>
        <w:t xml:space="preserve">Smluvní strany jsou povinny zachovávat mlčenlivost o všech skutečnostech, o kterých se o sobě navzájem dověděly při realizaci činností dle Smlouvy, a které jsou neveřejné anebo mají povahu obchodního tajemství, a to i po ukončení smluvního vztahu. </w:t>
      </w:r>
    </w:p>
    <w:p>
      <w:pPr>
        <w:pStyle w:val="Odstavecseseznamem"/>
        <w:spacing w:beforeLines="60" w:before="144" w:afterLines="60" w:after="144" w:line="240" w:lineRule="auto"/>
        <w:ind w:left="1004"/>
        <w:contextualSpacing w:val="0"/>
        <w:jc w:val="both"/>
        <w:rPr>
          <w:rFonts w:cs="Arial"/>
        </w:rPr>
      </w:pPr>
    </w:p>
    <w:p>
      <w:pPr>
        <w:pStyle w:val="Nadpis1"/>
        <w:numPr>
          <w:ilvl w:val="0"/>
          <w:numId w:val="10"/>
        </w:numPr>
        <w:tabs>
          <w:tab w:val="num" w:pos="0"/>
        </w:tabs>
        <w:spacing w:beforeLines="60" w:before="144" w:afterLines="60" w:after="144"/>
        <w:ind w:left="360"/>
        <w:jc w:val="both"/>
        <w:rPr>
          <w:rFonts w:ascii="Arial" w:hAnsi="Arial" w:cs="Arial"/>
          <w:b/>
          <w:bCs/>
          <w:color w:val="auto"/>
          <w:sz w:val="22"/>
          <w:szCs w:val="22"/>
        </w:rPr>
      </w:pPr>
      <w:r>
        <w:rPr>
          <w:rFonts w:ascii="Arial" w:hAnsi="Arial" w:cs="Arial"/>
          <w:b/>
          <w:bCs/>
          <w:color w:val="auto"/>
          <w:sz w:val="22"/>
          <w:szCs w:val="22"/>
        </w:rPr>
        <w:t>Ustanovení o oprávnění užívat data a podmínek pro předávání dat a informací</w:t>
      </w:r>
    </w:p>
    <w:p>
      <w:pPr>
        <w:pStyle w:val="Odstavecseseznamem"/>
        <w:numPr>
          <w:ilvl w:val="0"/>
          <w:numId w:val="12"/>
        </w:numPr>
        <w:suppressAutoHyphens w:val="0"/>
        <w:spacing w:before="60" w:after="60" w:line="240" w:lineRule="auto"/>
        <w:ind w:left="284" w:hanging="284"/>
        <w:contextualSpacing w:val="0"/>
        <w:jc w:val="both"/>
        <w:rPr>
          <w:rFonts w:cs="Arial"/>
        </w:rPr>
      </w:pPr>
      <w:r>
        <w:rPr>
          <w:rFonts w:cs="Arial"/>
        </w:rPr>
        <w:t xml:space="preserve">Dodavatel je povinen se všemi informacemi získanými při poskytování služeb dle Smlouvy, a to vč. osobních údajů, nakládat pouze v rozsahu nezbytném pro plnění předmětu Smlouvy a v souladu se Smlouvou a platnými a účinnými právními předpisy České republiky. </w:t>
      </w:r>
    </w:p>
    <w:p>
      <w:pPr>
        <w:pStyle w:val="Odstavecseseznamem"/>
        <w:numPr>
          <w:ilvl w:val="0"/>
          <w:numId w:val="12"/>
        </w:numPr>
        <w:suppressAutoHyphens w:val="0"/>
        <w:spacing w:before="60" w:after="60" w:line="240" w:lineRule="auto"/>
        <w:ind w:left="284" w:hanging="284"/>
        <w:contextualSpacing w:val="0"/>
        <w:jc w:val="both"/>
        <w:rPr>
          <w:rFonts w:cs="Arial"/>
        </w:rPr>
      </w:pPr>
      <w:r>
        <w:rPr>
          <w:rFonts w:cs="Arial"/>
        </w:rPr>
        <w:t>Dodavatel je povinen dodržovat zákaz kopírování a sdělování informací mimo Objednatele dalším subjektům. Předání jakýchkoliv dat a informací třetím stranám je možné pouze po vzájemné dohodě Smluvních stran. Dodavatel je oprávněn předat data a informace nezbytné pro plnění Smlouvy svým Poddodavatelům, uvedeným ve Smlouvě.</w:t>
      </w:r>
    </w:p>
    <w:p>
      <w:pPr>
        <w:pStyle w:val="Odstavecseseznamem"/>
        <w:numPr>
          <w:ilvl w:val="0"/>
          <w:numId w:val="12"/>
        </w:numPr>
        <w:suppressAutoHyphens w:val="0"/>
        <w:spacing w:before="60" w:after="60" w:line="240" w:lineRule="auto"/>
        <w:ind w:left="284" w:hanging="284"/>
        <w:contextualSpacing w:val="0"/>
        <w:jc w:val="both"/>
        <w:rPr>
          <w:rFonts w:eastAsia="Lucida Sans Unicode" w:cs="Arial"/>
        </w:rPr>
      </w:pPr>
      <w:r>
        <w:rPr>
          <w:rFonts w:eastAsia="Lucida Sans Unicode" w:cs="Arial"/>
        </w:rPr>
        <w:lastRenderedPageBreak/>
        <w:t>Dodavatel je povinen předat či zničit uchovávaná data (informace) na požádání Objednatele během trvání smluvního vztahu, respektive vždy při jeho ukončení. To neplatí, pokud je Dodavatel povinen data uchovávat podle závazných právních předpisů.</w:t>
      </w:r>
    </w:p>
    <w:p>
      <w:pPr>
        <w:pStyle w:val="Odstavecseseznamem"/>
        <w:numPr>
          <w:ilvl w:val="0"/>
          <w:numId w:val="12"/>
        </w:numPr>
        <w:suppressAutoHyphens w:val="0"/>
        <w:spacing w:before="60" w:after="60" w:line="240" w:lineRule="auto"/>
        <w:ind w:left="284" w:hanging="284"/>
        <w:contextualSpacing w:val="0"/>
        <w:jc w:val="both"/>
        <w:rPr>
          <w:rFonts w:cs="Arial"/>
        </w:rPr>
      </w:pPr>
      <w:r>
        <w:rPr>
          <w:rFonts w:cs="Arial"/>
        </w:rPr>
        <w:t>Dodavatel je povinen předávat data a informace Objednateli výhradně prostřednictvím zabezpečených komunikačních prostředků, které zajistí jejich důvěrnost, integritu a dostupnost.</w:t>
      </w:r>
    </w:p>
    <w:p>
      <w:pPr>
        <w:pStyle w:val="Odstavecseseznamem"/>
        <w:numPr>
          <w:ilvl w:val="0"/>
          <w:numId w:val="12"/>
        </w:numPr>
        <w:suppressAutoHyphens w:val="0"/>
        <w:spacing w:before="60" w:after="60" w:line="240" w:lineRule="auto"/>
        <w:ind w:left="284" w:hanging="284"/>
        <w:contextualSpacing w:val="0"/>
        <w:jc w:val="both"/>
        <w:rPr>
          <w:rFonts w:cs="Arial"/>
        </w:rPr>
      </w:pPr>
      <w:r>
        <w:rPr>
          <w:rFonts w:cs="Arial"/>
        </w:rPr>
        <w:t xml:space="preserve">Předávání dat musí probíhat tak, aby nemohly neoprávněné osoby údaje číst, kopírovat, měnit ani mazat. </w:t>
      </w:r>
    </w:p>
    <w:p>
      <w:pPr>
        <w:pStyle w:val="Odstavecseseznamem"/>
        <w:numPr>
          <w:ilvl w:val="0"/>
          <w:numId w:val="12"/>
        </w:numPr>
        <w:suppressAutoHyphens w:val="0"/>
        <w:spacing w:before="60" w:after="60" w:line="240" w:lineRule="auto"/>
        <w:ind w:left="284" w:hanging="284"/>
        <w:contextualSpacing w:val="0"/>
        <w:jc w:val="both"/>
        <w:rPr>
          <w:rFonts w:cs="Arial"/>
        </w:rPr>
      </w:pPr>
      <w:r>
        <w:rPr>
          <w:rFonts w:cs="Arial"/>
        </w:rPr>
        <w:t>Data a informace budou Dodavatelem předávány ve formátu dohodnutém mezi smluvními stranami, např. ve formátech CSV, XML, XLSX, PDF/A, JSON nebo jiném dohodnutém formátu, a to vždy tak, aby byla zajištěna jejich čitelnost a bezproblémová zpracovatelnost v systémech Objednatele. Změna formátu je možná pouze na základě předchozího písemného souhlasu Objednatele.</w:t>
      </w:r>
    </w:p>
    <w:p>
      <w:pPr>
        <w:pStyle w:val="Odstavecseseznamem"/>
        <w:numPr>
          <w:ilvl w:val="0"/>
          <w:numId w:val="12"/>
        </w:numPr>
        <w:suppressAutoHyphens w:val="0"/>
        <w:spacing w:before="60" w:after="60" w:line="240" w:lineRule="auto"/>
        <w:ind w:left="284" w:hanging="284"/>
        <w:contextualSpacing w:val="0"/>
        <w:jc w:val="both"/>
        <w:rPr>
          <w:rFonts w:cs="Arial"/>
        </w:rPr>
      </w:pPr>
      <w:r>
        <w:rPr>
          <w:rFonts w:cs="Arial"/>
        </w:rPr>
        <w:t>Předávaná data musí být opatřena prostředky umožňujícími ověření jejich původu a integrity, zejména elektronickým podpisem nebo časovým razítkem, pokud se smluvní strany nedohodnou jinak.</w:t>
      </w:r>
    </w:p>
    <w:p>
      <w:pPr>
        <w:pStyle w:val="Odstavecseseznamem"/>
        <w:numPr>
          <w:ilvl w:val="0"/>
          <w:numId w:val="12"/>
        </w:numPr>
        <w:suppressAutoHyphens w:val="0"/>
        <w:spacing w:before="60" w:after="60" w:line="240" w:lineRule="auto"/>
        <w:ind w:left="284" w:hanging="284"/>
        <w:contextualSpacing w:val="0"/>
        <w:jc w:val="both"/>
        <w:rPr>
          <w:rFonts w:cs="Arial"/>
        </w:rPr>
      </w:pPr>
      <w:r>
        <w:rPr>
          <w:rFonts w:cs="Arial"/>
        </w:rPr>
        <w:t>Je-li předávání dat realizováno, ve výjimečných případech schválených Objednatelem, na přenosných médiích, Dodavatel je povinen použít pouze média schválená Objednatelem. Tato média musí být chráněna proti neoprávněnému přístupu vhodnými prostředky, zejména HW či SF šifrováním. Po předání musí být média buď předána Objednateli, nebo bezpečně zlikvidována způsobem, který znemožní obnovu uložených dat.</w:t>
      </w:r>
    </w:p>
    <w:p>
      <w:pPr>
        <w:pStyle w:val="Odstavecseseznamem"/>
        <w:spacing w:beforeLines="60" w:before="144" w:afterLines="60" w:after="144" w:line="240" w:lineRule="auto"/>
        <w:ind w:left="1080"/>
        <w:jc w:val="both"/>
        <w:rPr>
          <w:rFonts w:cs="Arial"/>
        </w:rPr>
      </w:pPr>
    </w:p>
    <w:p>
      <w:pPr>
        <w:pStyle w:val="Nadpis1"/>
        <w:numPr>
          <w:ilvl w:val="0"/>
          <w:numId w:val="10"/>
        </w:numPr>
        <w:tabs>
          <w:tab w:val="num" w:pos="0"/>
        </w:tabs>
        <w:spacing w:beforeLines="60" w:before="144" w:afterLines="60" w:after="144"/>
        <w:ind w:left="360"/>
        <w:jc w:val="both"/>
        <w:rPr>
          <w:rFonts w:ascii="Arial" w:hAnsi="Arial" w:cs="Arial"/>
          <w:b/>
          <w:bCs/>
          <w:color w:val="auto"/>
          <w:sz w:val="22"/>
          <w:szCs w:val="22"/>
        </w:rPr>
      </w:pPr>
      <w:bookmarkStart w:id="124" w:name="_Ref151708460"/>
      <w:r>
        <w:rPr>
          <w:rFonts w:ascii="Arial" w:hAnsi="Arial" w:cs="Arial"/>
          <w:b/>
          <w:bCs/>
          <w:color w:val="auto"/>
          <w:sz w:val="22"/>
          <w:szCs w:val="22"/>
        </w:rPr>
        <w:t>Ustanovení o kontrole zavedených bezpečnostních opatření (Pravidla zákaznického auditu)</w:t>
      </w:r>
      <w:bookmarkEnd w:id="124"/>
    </w:p>
    <w:p>
      <w:pPr>
        <w:pStyle w:val="Odstavecseseznamem"/>
        <w:numPr>
          <w:ilvl w:val="0"/>
          <w:numId w:val="15"/>
        </w:numPr>
        <w:suppressAutoHyphens w:val="0"/>
        <w:spacing w:before="60" w:after="60" w:line="240" w:lineRule="auto"/>
        <w:ind w:left="284" w:hanging="284"/>
        <w:contextualSpacing w:val="0"/>
        <w:jc w:val="both"/>
        <w:rPr>
          <w:rFonts w:cs="Arial"/>
        </w:rPr>
      </w:pPr>
      <w:r>
        <w:rPr>
          <w:rFonts w:cs="Arial"/>
        </w:rPr>
        <w:t xml:space="preserve">Objednatel (jím pověřená osoba) má právo provádět u Dodavatele průběžnou kontrolu dodržováni bezpečnostních požadavků Objednatele souvisejících s předmětem plnění Smlouvy. Plánovanou kontrolu Objednatel písemně oznámí Dodavateli v dostatečném předstihu, tj. min. 30 dní před plánovanou kontrolou. Objednatel má právo vykonávat plánovaný audit či kontrolu nebo v návaznosti na závažné změny (např. po proběhlém kybernetickém bezpečnostním incidentu), které mohou mít vliv na plnění Smlouvy. </w:t>
      </w:r>
    </w:p>
    <w:p>
      <w:pPr>
        <w:pStyle w:val="Odstavecseseznamem"/>
        <w:numPr>
          <w:ilvl w:val="0"/>
          <w:numId w:val="15"/>
        </w:numPr>
        <w:suppressAutoHyphens w:val="0"/>
        <w:spacing w:before="60" w:after="60" w:line="240" w:lineRule="auto"/>
        <w:ind w:left="284" w:hanging="284"/>
        <w:contextualSpacing w:val="0"/>
        <w:jc w:val="both"/>
        <w:rPr>
          <w:rFonts w:cs="Arial"/>
        </w:rPr>
      </w:pPr>
      <w:r>
        <w:rPr>
          <w:rFonts w:cs="Arial"/>
        </w:rPr>
        <w:t xml:space="preserve">Kontrola bude vždy probíhat pouze v rozsahu nezbytně nutném ke kontrole povinností Dodavatele podle plnění předmětu Smlouvy, ve smyslu této přílohy a požadavků ZKB a VKB. </w:t>
      </w:r>
    </w:p>
    <w:p>
      <w:pPr>
        <w:pStyle w:val="Odstavecseseznamem"/>
        <w:numPr>
          <w:ilvl w:val="0"/>
          <w:numId w:val="15"/>
        </w:numPr>
        <w:suppressAutoHyphens w:val="0"/>
        <w:spacing w:before="60" w:after="60" w:line="240" w:lineRule="auto"/>
        <w:ind w:left="284" w:hanging="284"/>
        <w:contextualSpacing w:val="0"/>
        <w:jc w:val="both"/>
        <w:rPr>
          <w:rFonts w:cs="Arial"/>
        </w:rPr>
      </w:pPr>
      <w:r>
        <w:rPr>
          <w:rFonts w:cs="Arial"/>
        </w:rPr>
        <w:t>Předmětem kontroly může být:</w:t>
      </w:r>
    </w:p>
    <w:p>
      <w:pPr>
        <w:pStyle w:val="Odstavecseseznamem"/>
        <w:numPr>
          <w:ilvl w:val="0"/>
          <w:numId w:val="8"/>
        </w:numPr>
        <w:suppressAutoHyphens w:val="0"/>
        <w:spacing w:before="60" w:after="60" w:line="276" w:lineRule="auto"/>
        <w:jc w:val="both"/>
        <w:rPr>
          <w:rFonts w:cs="Arial"/>
        </w:rPr>
      </w:pPr>
      <w:r>
        <w:rPr>
          <w:rFonts w:cs="Arial"/>
        </w:rPr>
        <w:t xml:space="preserve">míra a úroveň implementace požadovaných bezpečnostních opatření, </w:t>
      </w:r>
    </w:p>
    <w:p>
      <w:pPr>
        <w:pStyle w:val="Odstavecseseznamem"/>
        <w:numPr>
          <w:ilvl w:val="0"/>
          <w:numId w:val="8"/>
        </w:numPr>
        <w:suppressAutoHyphens w:val="0"/>
        <w:spacing w:before="60" w:after="60" w:line="276" w:lineRule="auto"/>
        <w:jc w:val="both"/>
        <w:rPr>
          <w:rFonts w:cs="Arial"/>
        </w:rPr>
      </w:pPr>
      <w:r>
        <w:rPr>
          <w:rFonts w:cs="Arial"/>
        </w:rPr>
        <w:t>dodržování podmínek SLA,</w:t>
      </w:r>
    </w:p>
    <w:p>
      <w:pPr>
        <w:pStyle w:val="Odstavecseseznamem"/>
        <w:numPr>
          <w:ilvl w:val="0"/>
          <w:numId w:val="8"/>
        </w:numPr>
        <w:suppressAutoHyphens w:val="0"/>
        <w:spacing w:before="60" w:after="60" w:line="276" w:lineRule="auto"/>
        <w:jc w:val="both"/>
        <w:rPr>
          <w:rFonts w:cs="Arial"/>
        </w:rPr>
      </w:pPr>
      <w:r>
        <w:rPr>
          <w:rFonts w:cs="Arial"/>
        </w:rPr>
        <w:t>zajištění důvěrnosti, dostupnosti a integrity informací,</w:t>
      </w:r>
    </w:p>
    <w:p>
      <w:pPr>
        <w:pStyle w:val="Odstavecseseznamem"/>
        <w:numPr>
          <w:ilvl w:val="0"/>
          <w:numId w:val="8"/>
        </w:numPr>
        <w:suppressAutoHyphens w:val="0"/>
        <w:spacing w:before="60" w:after="60" w:line="276" w:lineRule="auto"/>
        <w:jc w:val="both"/>
        <w:rPr>
          <w:rFonts w:cs="Arial"/>
        </w:rPr>
      </w:pPr>
      <w:r>
        <w:rPr>
          <w:rFonts w:cs="Arial"/>
        </w:rPr>
        <w:t>aktuálnosti jmenných seznamů zaměstnanců Dodavatele s přístupem k datům a aktivům Objednatele,</w:t>
      </w:r>
    </w:p>
    <w:p>
      <w:pPr>
        <w:pStyle w:val="Odstavecseseznamem"/>
        <w:numPr>
          <w:ilvl w:val="0"/>
          <w:numId w:val="8"/>
        </w:numPr>
        <w:suppressAutoHyphens w:val="0"/>
        <w:spacing w:before="60" w:after="60" w:line="276" w:lineRule="auto"/>
        <w:jc w:val="both"/>
        <w:rPr>
          <w:rFonts w:cs="Arial"/>
        </w:rPr>
      </w:pPr>
      <w:r>
        <w:rPr>
          <w:rFonts w:cs="Arial"/>
        </w:rPr>
        <w:t>postupy pro předávání informací třetím stranám a pravidla pro řízení Poddodavatelů,</w:t>
      </w:r>
    </w:p>
    <w:p>
      <w:pPr>
        <w:pStyle w:val="Odstavecseseznamem"/>
        <w:numPr>
          <w:ilvl w:val="0"/>
          <w:numId w:val="8"/>
        </w:numPr>
        <w:suppressAutoHyphens w:val="0"/>
        <w:spacing w:before="60" w:after="60" w:line="276" w:lineRule="auto"/>
        <w:jc w:val="both"/>
        <w:rPr>
          <w:rFonts w:cs="Arial"/>
        </w:rPr>
      </w:pPr>
      <w:r>
        <w:rPr>
          <w:rFonts w:cs="Arial"/>
        </w:rPr>
        <w:t>kontrolu vzdálených přístupů Dodavatele s cílem ověřit jednoznačnou autentizaci konkrétního uživatele,</w:t>
      </w:r>
    </w:p>
    <w:p>
      <w:pPr>
        <w:pStyle w:val="Odstavecseseznamem"/>
        <w:numPr>
          <w:ilvl w:val="0"/>
          <w:numId w:val="8"/>
        </w:numPr>
        <w:suppressAutoHyphens w:val="0"/>
        <w:spacing w:before="60" w:after="60" w:line="276" w:lineRule="auto"/>
        <w:jc w:val="both"/>
        <w:rPr>
          <w:rFonts w:cs="Arial"/>
        </w:rPr>
      </w:pPr>
      <w:r>
        <w:rPr>
          <w:rFonts w:cs="Arial"/>
        </w:rPr>
        <w:t>kontrolu pravidel pro hlášení kybernetických událostí a incidentů,</w:t>
      </w:r>
    </w:p>
    <w:p>
      <w:pPr>
        <w:pStyle w:val="Odstavecseseznamem"/>
        <w:numPr>
          <w:ilvl w:val="0"/>
          <w:numId w:val="8"/>
        </w:numPr>
        <w:suppressAutoHyphens w:val="0"/>
        <w:spacing w:before="60" w:after="60" w:line="276" w:lineRule="auto"/>
        <w:jc w:val="both"/>
        <w:rPr>
          <w:rFonts w:cs="Arial"/>
        </w:rPr>
      </w:pPr>
      <w:r>
        <w:rPr>
          <w:rFonts w:cs="Arial"/>
        </w:rPr>
        <w:t xml:space="preserve">kontrolu případných stahovaných dat Dodavatelem s cílem ověřit, zda nejsou využívány v rozporu se Smlouvou, </w:t>
      </w:r>
    </w:p>
    <w:p>
      <w:pPr>
        <w:pStyle w:val="Odstavecseseznamem"/>
        <w:numPr>
          <w:ilvl w:val="0"/>
          <w:numId w:val="8"/>
        </w:numPr>
        <w:suppressAutoHyphens w:val="0"/>
        <w:spacing w:before="60" w:after="60" w:line="276" w:lineRule="auto"/>
        <w:jc w:val="both"/>
        <w:rPr>
          <w:rFonts w:cs="Arial"/>
        </w:rPr>
      </w:pPr>
      <w:r>
        <w:rPr>
          <w:rFonts w:cs="Arial"/>
        </w:rPr>
        <w:t>kontrolu záznamů o provedených činnostech Dodavatele souvisejících s plněním Smlouvy apod.,</w:t>
      </w:r>
    </w:p>
    <w:p>
      <w:pPr>
        <w:pStyle w:val="Odstavecseseznamem"/>
        <w:numPr>
          <w:ilvl w:val="0"/>
          <w:numId w:val="15"/>
        </w:numPr>
        <w:suppressAutoHyphens w:val="0"/>
        <w:spacing w:before="60" w:after="60" w:line="240" w:lineRule="auto"/>
        <w:ind w:left="284" w:hanging="284"/>
        <w:contextualSpacing w:val="0"/>
        <w:jc w:val="both"/>
        <w:rPr>
          <w:rFonts w:cs="Arial"/>
        </w:rPr>
      </w:pPr>
      <w:r>
        <w:rPr>
          <w:rFonts w:cs="Arial"/>
        </w:rPr>
        <w:t>Dodavatel je povinen zajistit dostatečnou součinnost Objednateli při provádění kontroly.</w:t>
      </w:r>
    </w:p>
    <w:p>
      <w:pPr>
        <w:pStyle w:val="Odstavecseseznamem"/>
        <w:numPr>
          <w:ilvl w:val="0"/>
          <w:numId w:val="15"/>
        </w:numPr>
        <w:suppressAutoHyphens w:val="0"/>
        <w:spacing w:before="60" w:after="60" w:line="240" w:lineRule="auto"/>
        <w:ind w:left="284" w:hanging="284"/>
        <w:contextualSpacing w:val="0"/>
        <w:jc w:val="both"/>
        <w:rPr>
          <w:rFonts w:cs="Arial"/>
        </w:rPr>
      </w:pPr>
      <w:r>
        <w:rPr>
          <w:rFonts w:cs="Arial"/>
        </w:rPr>
        <w:lastRenderedPageBreak/>
        <w:t>V případě, že Objednatel při provádění kontroly zjistí nedostatky, je Dodavatel povinen učinit kroky k jejich nápravě a informovat Objednatele o provedených nápravných opatřeních.</w:t>
      </w:r>
    </w:p>
    <w:p>
      <w:pPr>
        <w:pStyle w:val="Odstavecseseznamem"/>
        <w:numPr>
          <w:ilvl w:val="0"/>
          <w:numId w:val="15"/>
        </w:numPr>
        <w:suppressAutoHyphens w:val="0"/>
        <w:spacing w:before="60" w:after="60" w:line="240" w:lineRule="auto"/>
        <w:ind w:left="284" w:hanging="284"/>
        <w:contextualSpacing w:val="0"/>
        <w:jc w:val="both"/>
        <w:rPr>
          <w:rFonts w:cs="Arial"/>
        </w:rPr>
      </w:pPr>
      <w:r>
        <w:rPr>
          <w:rFonts w:cs="Arial"/>
        </w:rPr>
        <w:t>Objednatel poskytne Dodavateli výsledek proběhlé kontroly nebo auditu.</w:t>
      </w:r>
    </w:p>
    <w:p>
      <w:pPr>
        <w:pStyle w:val="Odstavecseseznamem"/>
        <w:spacing w:beforeLines="60" w:before="144" w:afterLines="60" w:after="144"/>
        <w:ind w:left="644"/>
        <w:jc w:val="both"/>
        <w:rPr>
          <w:rFonts w:cs="Arial"/>
        </w:rPr>
      </w:pPr>
    </w:p>
    <w:p>
      <w:pPr>
        <w:pStyle w:val="Nadpis1"/>
        <w:numPr>
          <w:ilvl w:val="0"/>
          <w:numId w:val="10"/>
        </w:numPr>
        <w:tabs>
          <w:tab w:val="num" w:pos="0"/>
        </w:tabs>
        <w:spacing w:beforeLines="60" w:before="144" w:afterLines="60" w:after="144"/>
        <w:ind w:left="360"/>
        <w:jc w:val="both"/>
        <w:rPr>
          <w:rFonts w:ascii="Arial" w:hAnsi="Arial" w:cs="Arial"/>
          <w:b/>
          <w:bCs/>
          <w:color w:val="auto"/>
          <w:sz w:val="22"/>
          <w:szCs w:val="22"/>
        </w:rPr>
      </w:pPr>
      <w:r>
        <w:rPr>
          <w:rFonts w:ascii="Arial" w:hAnsi="Arial" w:cs="Arial"/>
          <w:b/>
          <w:bCs/>
          <w:color w:val="auto"/>
          <w:sz w:val="22"/>
          <w:szCs w:val="22"/>
        </w:rPr>
        <w:t>Ustanovení o pravidlech bezpečného vývoje</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Dodavatel je povinen provádět veškeré vývojové a implementační práce v souladu s principy bezpečného vývoje a zajišťovat, že výsledné produkty, aplikace či systémy neobsahují známé zranitelnosti, které by mohly ohrozit důvěrnost, integritu nebo dostupnost informací Objednatele.</w:t>
      </w:r>
    </w:p>
    <w:p>
      <w:pPr>
        <w:pStyle w:val="Odstavecseseznamem"/>
        <w:numPr>
          <w:ilvl w:val="0"/>
          <w:numId w:val="16"/>
        </w:numPr>
        <w:suppressAutoHyphens w:val="0"/>
        <w:spacing w:before="60" w:after="60" w:line="240" w:lineRule="auto"/>
        <w:ind w:left="284" w:hanging="284"/>
        <w:contextualSpacing w:val="0"/>
        <w:jc w:val="both"/>
        <w:rPr>
          <w:rFonts w:cs="Arial"/>
        </w:rPr>
      </w:pPr>
      <w:r>
        <w:rPr>
          <w:rFonts w:cs="Arial"/>
        </w:rPr>
        <w:t>Dodavatel se zavazuje postupovat podle platných bezpečnostních standardů a osvědčených postupů, zejména:</w:t>
      </w:r>
    </w:p>
    <w:p>
      <w:pPr>
        <w:pStyle w:val="Odstavecseseznamem"/>
        <w:numPr>
          <w:ilvl w:val="0"/>
          <w:numId w:val="14"/>
        </w:numPr>
        <w:suppressAutoHyphens w:val="0"/>
        <w:spacing w:beforeLines="60" w:before="144" w:afterLines="60" w:after="144" w:line="276" w:lineRule="auto"/>
        <w:jc w:val="both"/>
        <w:rPr>
          <w:rFonts w:cs="Arial"/>
        </w:rPr>
      </w:pPr>
      <w:r>
        <w:rPr>
          <w:rFonts w:cs="Arial"/>
        </w:rPr>
        <w:t xml:space="preserve">principy bezpečného kódování dle metodik OWASP (Open Web </w:t>
      </w:r>
      <w:proofErr w:type="spellStart"/>
      <w:r>
        <w:rPr>
          <w:rFonts w:cs="Arial"/>
        </w:rPr>
        <w:t>Application</w:t>
      </w:r>
      <w:proofErr w:type="spellEnd"/>
      <w:r>
        <w:rPr>
          <w:rFonts w:cs="Arial"/>
        </w:rPr>
        <w:t xml:space="preserve"> </w:t>
      </w:r>
      <w:proofErr w:type="spellStart"/>
      <w:r>
        <w:rPr>
          <w:rFonts w:cs="Arial"/>
        </w:rPr>
        <w:t>Security</w:t>
      </w:r>
      <w:proofErr w:type="spellEnd"/>
      <w:r>
        <w:rPr>
          <w:rFonts w:cs="Arial"/>
        </w:rPr>
        <w:t xml:space="preserve"> Project),</w:t>
      </w:r>
    </w:p>
    <w:p>
      <w:pPr>
        <w:pStyle w:val="Odstavecseseznamem"/>
        <w:numPr>
          <w:ilvl w:val="0"/>
          <w:numId w:val="14"/>
        </w:numPr>
        <w:suppressAutoHyphens w:val="0"/>
        <w:spacing w:beforeLines="60" w:before="144" w:afterLines="60" w:after="144" w:line="276" w:lineRule="auto"/>
        <w:jc w:val="both"/>
        <w:rPr>
          <w:rFonts w:cs="Arial"/>
        </w:rPr>
      </w:pPr>
      <w:r>
        <w:rPr>
          <w:rFonts w:cs="Arial"/>
        </w:rPr>
        <w:t>postupy dle norem ISO/IEC 27034 a ISO/IEC 27001,</w:t>
      </w:r>
    </w:p>
    <w:p>
      <w:pPr>
        <w:pStyle w:val="Odstavecseseznamem"/>
        <w:numPr>
          <w:ilvl w:val="0"/>
          <w:numId w:val="14"/>
        </w:numPr>
        <w:suppressAutoHyphens w:val="0"/>
        <w:spacing w:beforeLines="60" w:before="144" w:afterLines="60" w:after="144" w:line="276" w:lineRule="auto"/>
        <w:jc w:val="both"/>
        <w:rPr>
          <w:rFonts w:cs="Arial"/>
        </w:rPr>
      </w:pPr>
      <w:r>
        <w:rPr>
          <w:rFonts w:cs="Arial"/>
        </w:rPr>
        <w:t>požadavky ZKB, a VKB.</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Dodavatel je povinen vést a uchovávat dokumentaci verzí, změn a oprav aplikací.</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Přístup k vývojovým prostředím a zdrojovým kódům mají pouze oprávněné osoby, jejichž přístup je pravidelně revidován.</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 xml:space="preserve">Každá nová verze nebo změna musí být podrobena bezpečnostnímu testování. </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Dodavatel je povinen provést penetrační testy před uvedením do produkčního prostředí u aplikací přístupných z internetu.</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Zjištěné nedostatky musí být odstraněny před nasazením.</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Dodavatel je povinen používat pouze důvěryhodné a ověřené knihovny, frameworky a moduly.</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Testovací data nesmí obsahovat reálné osobní údaje ani citlivá data Objednatele, pokud není výslovně dohodnuto jinak.</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Objednatel má právo vyžadovat přehled o výsledcích bezpečnostního testování.</w:t>
      </w:r>
    </w:p>
    <w:p>
      <w:pPr>
        <w:pStyle w:val="Odstavecseseznamem"/>
        <w:numPr>
          <w:ilvl w:val="0"/>
          <w:numId w:val="16"/>
        </w:numPr>
        <w:suppressAutoHyphens w:val="0"/>
        <w:spacing w:before="60" w:after="60" w:line="240" w:lineRule="auto"/>
        <w:ind w:left="284"/>
        <w:contextualSpacing w:val="0"/>
        <w:jc w:val="both"/>
        <w:rPr>
          <w:rFonts w:cs="Arial"/>
        </w:rPr>
      </w:pPr>
      <w:r>
        <w:rPr>
          <w:rFonts w:cs="Arial"/>
        </w:rPr>
        <w:t>Dodavatel zajistí, aby osoby podílející se na vývoji byly proškoleny v oblasti bezpečného programování.</w:t>
      </w:r>
    </w:p>
    <w:p>
      <w:pPr>
        <w:spacing w:beforeLines="60" w:before="144" w:afterLines="60" w:after="144"/>
        <w:ind w:left="1080"/>
        <w:jc w:val="both"/>
        <w:rPr>
          <w:rFonts w:eastAsiaTheme="majorEastAsia" w:cs="Arial"/>
        </w:rPr>
      </w:pPr>
    </w:p>
    <w:p>
      <w:pPr>
        <w:pStyle w:val="Nadpis1"/>
        <w:numPr>
          <w:ilvl w:val="0"/>
          <w:numId w:val="10"/>
        </w:numPr>
        <w:tabs>
          <w:tab w:val="num" w:pos="0"/>
        </w:tabs>
        <w:spacing w:beforeLines="60" w:before="144" w:afterLines="60" w:after="144"/>
        <w:ind w:left="360"/>
        <w:jc w:val="both"/>
        <w:rPr>
          <w:rFonts w:ascii="Arial" w:hAnsi="Arial" w:cs="Arial"/>
          <w:b/>
          <w:bCs/>
          <w:color w:val="auto"/>
          <w:sz w:val="22"/>
          <w:szCs w:val="22"/>
        </w:rPr>
      </w:pPr>
      <w:r>
        <w:rPr>
          <w:rFonts w:ascii="Arial" w:hAnsi="Arial" w:cs="Arial"/>
          <w:b/>
          <w:bCs/>
          <w:color w:val="auto"/>
          <w:sz w:val="22"/>
          <w:szCs w:val="22"/>
        </w:rPr>
        <w:t xml:space="preserve">Ustanovení o povinnosti Dodavatele informovat Objednatele </w:t>
      </w:r>
    </w:p>
    <w:p>
      <w:pPr>
        <w:pStyle w:val="Odstavecseseznamem"/>
        <w:numPr>
          <w:ilvl w:val="0"/>
          <w:numId w:val="17"/>
        </w:numPr>
        <w:suppressAutoHyphens w:val="0"/>
        <w:spacing w:before="60" w:after="60" w:line="240" w:lineRule="auto"/>
        <w:ind w:left="284"/>
        <w:contextualSpacing w:val="0"/>
        <w:jc w:val="both"/>
        <w:rPr>
          <w:rFonts w:cs="Arial"/>
        </w:rPr>
      </w:pPr>
      <w:r>
        <w:rPr>
          <w:rFonts w:cs="Arial"/>
        </w:rPr>
        <w:t>Objednatel po uzavření Smlouvy předá Dodavateli kontaktní údaje na manažera a architekta kybernetické bezpečnosti. V případě změny osoby nebo kontaktních údajů manažera nebo architekta kybernetické bezpečnosti Objednatel tyto informace Dodavateli bez zbytečného odkladu aktualizuje.</w:t>
      </w:r>
    </w:p>
    <w:p>
      <w:pPr>
        <w:pStyle w:val="Odstavecseseznamem"/>
        <w:numPr>
          <w:ilvl w:val="0"/>
          <w:numId w:val="17"/>
        </w:numPr>
        <w:suppressAutoHyphens w:val="0"/>
        <w:spacing w:before="60" w:after="60" w:line="240" w:lineRule="auto"/>
        <w:ind w:left="284"/>
        <w:contextualSpacing w:val="0"/>
        <w:jc w:val="both"/>
        <w:rPr>
          <w:rFonts w:cs="Arial"/>
        </w:rPr>
      </w:pPr>
      <w:r>
        <w:rPr>
          <w:rFonts w:cs="Arial"/>
        </w:rPr>
        <w:t xml:space="preserve">Dodavatel je povinen neprodleně informovat Objednatele o podezření na kybernetickou bezpečnostní událost nebo incident související s plněním Smlouvy, prostřednictvím Helpdesku Objednatele dle odst. 27 Smlouvy. V případě, že Dodavatel nemá přístup k Helpdesku, informuje neprodleně od zjištění telefonicky a e-mailem manažera a architekta kybernetické bezpečnosti Objednatele. </w:t>
      </w:r>
    </w:p>
    <w:p>
      <w:pPr>
        <w:pStyle w:val="Odstavecseseznamem"/>
        <w:numPr>
          <w:ilvl w:val="0"/>
          <w:numId w:val="17"/>
        </w:numPr>
        <w:suppressAutoHyphens w:val="0"/>
        <w:spacing w:before="60" w:after="60" w:line="240" w:lineRule="auto"/>
        <w:ind w:left="284"/>
        <w:contextualSpacing w:val="0"/>
        <w:jc w:val="both"/>
        <w:rPr>
          <w:rFonts w:cs="Arial"/>
        </w:rPr>
      </w:pPr>
      <w:r>
        <w:rPr>
          <w:rFonts w:cs="Arial"/>
        </w:rPr>
        <w:t>Za kybernetickou bezpečnostní událost je vždy považováno podezření na např.:</w:t>
      </w:r>
    </w:p>
    <w:p>
      <w:pPr>
        <w:pStyle w:val="Odstavecseseznamem"/>
        <w:numPr>
          <w:ilvl w:val="0"/>
          <w:numId w:val="13"/>
        </w:numPr>
        <w:suppressAutoHyphens w:val="0"/>
        <w:spacing w:beforeLines="60" w:before="144" w:afterLines="60" w:after="144" w:line="276" w:lineRule="auto"/>
        <w:jc w:val="both"/>
        <w:rPr>
          <w:rFonts w:cs="Arial"/>
        </w:rPr>
      </w:pPr>
      <w:r>
        <w:rPr>
          <w:rFonts w:cs="Arial"/>
        </w:rPr>
        <w:t xml:space="preserve">ztrátu nebo prozrazení přístupových údajů, prostřednictvím kterých lze získat přístup k aktivům Objednatele, </w:t>
      </w:r>
    </w:p>
    <w:p>
      <w:pPr>
        <w:pStyle w:val="Odstavecseseznamem"/>
        <w:numPr>
          <w:ilvl w:val="0"/>
          <w:numId w:val="13"/>
        </w:numPr>
        <w:suppressAutoHyphens w:val="0"/>
        <w:spacing w:beforeLines="60" w:before="144" w:afterLines="60" w:after="144" w:line="276" w:lineRule="auto"/>
        <w:jc w:val="both"/>
        <w:rPr>
          <w:rFonts w:cs="Arial"/>
        </w:rPr>
      </w:pPr>
      <w:r>
        <w:rPr>
          <w:rFonts w:cs="Arial"/>
        </w:rPr>
        <w:t>ztrátu, odcizení nebo poškození záloh souvisejících s plněním Smlouvy,</w:t>
      </w:r>
    </w:p>
    <w:p>
      <w:pPr>
        <w:pStyle w:val="Odstavecseseznamem"/>
        <w:numPr>
          <w:ilvl w:val="0"/>
          <w:numId w:val="13"/>
        </w:numPr>
        <w:suppressAutoHyphens w:val="0"/>
        <w:spacing w:beforeLines="60" w:before="144" w:afterLines="60" w:after="144" w:line="276" w:lineRule="auto"/>
        <w:jc w:val="both"/>
        <w:rPr>
          <w:rFonts w:cs="Arial"/>
        </w:rPr>
      </w:pPr>
      <w:r>
        <w:rPr>
          <w:rFonts w:cs="Arial"/>
        </w:rPr>
        <w:t>nedostatečnou kapacitu pro zálohování souvisejícím s plněním Smlouvy,</w:t>
      </w:r>
    </w:p>
    <w:p>
      <w:pPr>
        <w:pStyle w:val="Odstavecseseznamem"/>
        <w:numPr>
          <w:ilvl w:val="0"/>
          <w:numId w:val="13"/>
        </w:numPr>
        <w:suppressAutoHyphens w:val="0"/>
        <w:spacing w:beforeLines="60" w:before="144" w:afterLines="60" w:after="144" w:line="276" w:lineRule="auto"/>
        <w:jc w:val="both"/>
        <w:rPr>
          <w:rFonts w:cs="Arial"/>
        </w:rPr>
      </w:pPr>
      <w:r>
        <w:rPr>
          <w:rFonts w:cs="Arial"/>
        </w:rPr>
        <w:t>neprovedení pravidelné či mimořádné aktualizace související s plněním Smlouvy,</w:t>
      </w:r>
    </w:p>
    <w:p>
      <w:pPr>
        <w:pStyle w:val="Odstavecseseznamem"/>
        <w:numPr>
          <w:ilvl w:val="0"/>
          <w:numId w:val="13"/>
        </w:numPr>
        <w:suppressAutoHyphens w:val="0"/>
        <w:spacing w:beforeLines="60" w:before="144" w:afterLines="60" w:after="144" w:line="276" w:lineRule="auto"/>
        <w:jc w:val="both"/>
        <w:rPr>
          <w:rFonts w:cs="Arial"/>
        </w:rPr>
      </w:pPr>
      <w:r>
        <w:rPr>
          <w:rFonts w:cs="Arial"/>
        </w:rPr>
        <w:lastRenderedPageBreak/>
        <w:t>neoprávněný výmaz nebo změna souboru s auditními záznamy souvisejícími s plněním Smlouvy,</w:t>
      </w:r>
    </w:p>
    <w:p>
      <w:pPr>
        <w:pStyle w:val="Odstavecseseznamem"/>
        <w:numPr>
          <w:ilvl w:val="0"/>
          <w:numId w:val="13"/>
        </w:numPr>
        <w:suppressAutoHyphens w:val="0"/>
        <w:spacing w:beforeLines="60" w:before="144" w:afterLines="60" w:after="144" w:line="276" w:lineRule="auto"/>
        <w:jc w:val="both"/>
        <w:rPr>
          <w:rFonts w:cs="Arial"/>
        </w:rPr>
      </w:pPr>
      <w:r>
        <w:rPr>
          <w:rFonts w:cs="Arial"/>
        </w:rPr>
        <w:t xml:space="preserve">neoprávněné anonymní připojení k síti Dodavatele i Objednatele, </w:t>
      </w:r>
    </w:p>
    <w:p>
      <w:pPr>
        <w:pStyle w:val="Odstavecseseznamem"/>
        <w:numPr>
          <w:ilvl w:val="0"/>
          <w:numId w:val="13"/>
        </w:numPr>
        <w:suppressAutoHyphens w:val="0"/>
        <w:spacing w:beforeLines="60" w:before="144" w:afterLines="60" w:after="144" w:line="276" w:lineRule="auto"/>
        <w:jc w:val="both"/>
        <w:rPr>
          <w:rFonts w:cs="Arial"/>
        </w:rPr>
      </w:pPr>
      <w:r>
        <w:rPr>
          <w:rFonts w:cs="Arial"/>
        </w:rPr>
        <w:t>neoprávněné použití privilegovaných přístupových oprávnění k technickým aktivům Objednatele,</w:t>
      </w:r>
    </w:p>
    <w:p>
      <w:pPr>
        <w:pStyle w:val="Odstavecseseznamem"/>
        <w:numPr>
          <w:ilvl w:val="0"/>
          <w:numId w:val="13"/>
        </w:numPr>
        <w:suppressAutoHyphens w:val="0"/>
        <w:spacing w:beforeLines="60" w:before="144" w:afterLines="60" w:after="144" w:line="276" w:lineRule="auto"/>
        <w:jc w:val="both"/>
        <w:rPr>
          <w:rFonts w:cs="Arial"/>
        </w:rPr>
      </w:pPr>
      <w:r>
        <w:rPr>
          <w:rFonts w:cs="Arial"/>
        </w:rPr>
        <w:t xml:space="preserve">neoprávněnou změnu dat souvisejících s plněním Smlouvy, </w:t>
      </w:r>
    </w:p>
    <w:p>
      <w:pPr>
        <w:pStyle w:val="Odstavecseseznamem"/>
        <w:numPr>
          <w:ilvl w:val="0"/>
          <w:numId w:val="13"/>
        </w:numPr>
        <w:suppressAutoHyphens w:val="0"/>
        <w:spacing w:beforeLines="60" w:before="144" w:afterLines="60" w:after="144" w:line="276" w:lineRule="auto"/>
        <w:jc w:val="both"/>
        <w:rPr>
          <w:rFonts w:cs="Arial"/>
        </w:rPr>
      </w:pPr>
      <w:r>
        <w:rPr>
          <w:rFonts w:cs="Arial"/>
        </w:rPr>
        <w:t xml:space="preserve">neoprávněný logický nebo fyzický přístup k datům souvisejících s plněním Smlouvy, </w:t>
      </w:r>
    </w:p>
    <w:p>
      <w:pPr>
        <w:pStyle w:val="Odstavecseseznamem"/>
        <w:numPr>
          <w:ilvl w:val="0"/>
          <w:numId w:val="13"/>
        </w:numPr>
        <w:suppressAutoHyphens w:val="0"/>
        <w:spacing w:beforeLines="60" w:before="144" w:afterLines="60" w:after="144" w:line="276" w:lineRule="auto"/>
        <w:jc w:val="both"/>
        <w:rPr>
          <w:rFonts w:cs="Arial"/>
        </w:rPr>
      </w:pPr>
      <w:r>
        <w:rPr>
          <w:rFonts w:cs="Arial"/>
        </w:rPr>
        <w:t>útok na dostupnost služeb souvisejících s plněním Smlouvy,</w:t>
      </w:r>
    </w:p>
    <w:p>
      <w:pPr>
        <w:pStyle w:val="Odstavecseseznamem"/>
        <w:numPr>
          <w:ilvl w:val="0"/>
          <w:numId w:val="13"/>
        </w:numPr>
        <w:suppressAutoHyphens w:val="0"/>
        <w:spacing w:beforeLines="60" w:before="144" w:afterLines="60" w:after="144" w:line="276" w:lineRule="auto"/>
        <w:jc w:val="both"/>
        <w:rPr>
          <w:rFonts w:cs="Arial"/>
        </w:rPr>
      </w:pPr>
      <w:r>
        <w:rPr>
          <w:rFonts w:cs="Arial"/>
        </w:rPr>
        <w:t xml:space="preserve">útok škodlivého kódu (malware), </w:t>
      </w:r>
    </w:p>
    <w:p>
      <w:pPr>
        <w:pStyle w:val="Odstavecseseznamem"/>
        <w:numPr>
          <w:ilvl w:val="0"/>
          <w:numId w:val="13"/>
        </w:numPr>
        <w:suppressAutoHyphens w:val="0"/>
        <w:spacing w:beforeLines="60" w:before="144" w:afterLines="60" w:after="144" w:line="276" w:lineRule="auto"/>
        <w:jc w:val="both"/>
        <w:rPr>
          <w:rFonts w:cs="Arial"/>
        </w:rPr>
      </w:pPr>
      <w:r>
        <w:rPr>
          <w:rFonts w:cs="Arial"/>
        </w:rPr>
        <w:t>možné zneužití ztráty klíčů, vstupních karet umožňujících přístup do prostor Dodavatele s umístěnou výpočetní technikou nebo informacemi v listinné podobě, souvisejících s plněním Smlouvy,</w:t>
      </w:r>
    </w:p>
    <w:p>
      <w:pPr>
        <w:pStyle w:val="Odstavecseseznamem"/>
        <w:numPr>
          <w:ilvl w:val="0"/>
          <w:numId w:val="13"/>
        </w:numPr>
        <w:suppressAutoHyphens w:val="0"/>
        <w:spacing w:beforeLines="60" w:before="144" w:afterLines="60" w:after="144" w:line="276" w:lineRule="auto"/>
        <w:jc w:val="both"/>
        <w:rPr>
          <w:rFonts w:cs="Arial"/>
        </w:rPr>
      </w:pPr>
      <w:r>
        <w:rPr>
          <w:rFonts w:cs="Arial"/>
        </w:rPr>
        <w:t>další události, které mohou mít vliv na poskytované služby.</w:t>
      </w:r>
    </w:p>
    <w:p>
      <w:pPr>
        <w:pStyle w:val="Odstavecseseznamem"/>
        <w:spacing w:beforeLines="60" w:before="144" w:afterLines="60" w:after="144" w:line="240" w:lineRule="auto"/>
        <w:ind w:left="1428"/>
        <w:contextualSpacing w:val="0"/>
        <w:jc w:val="both"/>
        <w:rPr>
          <w:rFonts w:cs="Arial"/>
        </w:rPr>
      </w:pPr>
    </w:p>
    <w:p>
      <w:pPr>
        <w:pStyle w:val="Nadpis1"/>
        <w:numPr>
          <w:ilvl w:val="0"/>
          <w:numId w:val="10"/>
        </w:numPr>
        <w:tabs>
          <w:tab w:val="num" w:pos="0"/>
        </w:tabs>
        <w:spacing w:beforeLines="60" w:before="144" w:afterLines="60" w:after="144"/>
        <w:ind w:left="360"/>
        <w:jc w:val="both"/>
        <w:rPr>
          <w:rFonts w:ascii="Arial" w:hAnsi="Arial" w:cs="Arial"/>
          <w:b/>
          <w:bCs/>
          <w:color w:val="auto"/>
          <w:sz w:val="22"/>
          <w:szCs w:val="22"/>
        </w:rPr>
      </w:pPr>
      <w:bookmarkStart w:id="125" w:name="_Ref151708489"/>
      <w:r>
        <w:rPr>
          <w:rFonts w:ascii="Arial" w:hAnsi="Arial" w:cs="Arial"/>
          <w:b/>
          <w:bCs/>
          <w:color w:val="auto"/>
          <w:sz w:val="22"/>
          <w:szCs w:val="22"/>
        </w:rPr>
        <w:t>Ustanovení o specifikaci podmínek pro řízení kontinuity činností</w:t>
      </w:r>
      <w:bookmarkEnd w:id="125"/>
      <w:r>
        <w:rPr>
          <w:rFonts w:ascii="Arial" w:hAnsi="Arial" w:cs="Arial"/>
          <w:b/>
          <w:bCs/>
          <w:color w:val="auto"/>
          <w:sz w:val="22"/>
          <w:szCs w:val="22"/>
        </w:rPr>
        <w:t xml:space="preserve"> </w:t>
      </w:r>
    </w:p>
    <w:p>
      <w:pPr>
        <w:pStyle w:val="Odstavecseseznamem"/>
        <w:numPr>
          <w:ilvl w:val="0"/>
          <w:numId w:val="18"/>
        </w:numPr>
        <w:suppressAutoHyphens w:val="0"/>
        <w:spacing w:before="60" w:after="60" w:line="240" w:lineRule="auto"/>
        <w:ind w:left="284"/>
        <w:contextualSpacing w:val="0"/>
        <w:jc w:val="both"/>
        <w:rPr>
          <w:rFonts w:cs="Arial"/>
        </w:rPr>
      </w:pPr>
      <w:r>
        <w:rPr>
          <w:rFonts w:cs="Arial"/>
        </w:rPr>
        <w:t>Dodavatel musí mít zajištěnou vlastní kontinuitu činností, s výjimkou vyšší moci, aby byl schopen zajišťovat plnění předmětu Smlouvy.</w:t>
      </w:r>
    </w:p>
    <w:p>
      <w:pPr>
        <w:pStyle w:val="Odstavecseseznamem"/>
        <w:numPr>
          <w:ilvl w:val="0"/>
          <w:numId w:val="18"/>
        </w:numPr>
        <w:suppressAutoHyphens w:val="0"/>
        <w:spacing w:before="60" w:after="60" w:line="240" w:lineRule="auto"/>
        <w:ind w:left="284"/>
        <w:contextualSpacing w:val="0"/>
        <w:jc w:val="both"/>
        <w:rPr>
          <w:rFonts w:cs="Arial"/>
        </w:rPr>
      </w:pPr>
      <w:r>
        <w:rPr>
          <w:rFonts w:cs="Arial"/>
        </w:rPr>
        <w:t xml:space="preserve">Objednatel je oprávněn zapojit Dodavatele do řízení kontinuity činností, zejména je oprávněn k zahrnutí Dodavatele do plánu kontinuity činností, který souvisí s aktivy souvisejícími s předmětem plnění Smlouvy a souvisejících služeb a/nebo zahrnutí Dodavatele do plánů obnovy Objednatele. Objednatel je povinen Dodavatele o této skutečnosti informovat a poskytnout související dokumenty k připomínkám. </w:t>
      </w:r>
    </w:p>
    <w:p>
      <w:pPr>
        <w:pStyle w:val="Odstavecseseznamem"/>
        <w:numPr>
          <w:ilvl w:val="0"/>
          <w:numId w:val="18"/>
        </w:numPr>
        <w:suppressAutoHyphens w:val="0"/>
        <w:spacing w:before="60" w:after="60" w:line="240" w:lineRule="auto"/>
        <w:ind w:left="284"/>
        <w:contextualSpacing w:val="0"/>
        <w:jc w:val="both"/>
        <w:rPr>
          <w:rFonts w:cs="Arial"/>
        </w:rPr>
      </w:pPr>
      <w:r>
        <w:rPr>
          <w:rFonts w:cs="Arial"/>
        </w:rPr>
        <w:t xml:space="preserve">V případě vzniku mimořádné situace související s plněním předmětu Smlouvy, je Dodavatel povinen určit osobu, která bude jednat za Dodavatele. Jméno osoby je povinen písemně sdělit Objednateli do 20 dní od podpisu této Smlouvy. Osoba musí být schopna zajistit kapacitu určeného specialisty/specialistů Dodavatele. Dodavatel může dodat jména více osob. Osoba bude povinna plnit pokyny Objednatele směřující k vyřešení mimořádné situace do vyřešení dané situace. </w:t>
      </w:r>
    </w:p>
    <w:p>
      <w:pPr>
        <w:pStyle w:val="Odstavecseseznamem"/>
        <w:numPr>
          <w:ilvl w:val="0"/>
          <w:numId w:val="18"/>
        </w:numPr>
        <w:suppressAutoHyphens w:val="0"/>
        <w:spacing w:before="60" w:after="60" w:line="240" w:lineRule="auto"/>
        <w:ind w:left="284"/>
        <w:contextualSpacing w:val="0"/>
        <w:jc w:val="both"/>
        <w:rPr>
          <w:rFonts w:cs="Arial"/>
        </w:rPr>
      </w:pPr>
      <w:r>
        <w:rPr>
          <w:rFonts w:cs="Arial"/>
        </w:rPr>
        <w:t>Dodavatel musí umožnit Objednateli provedení bezpečnostního testování dodávaných technických aktiv nebo informačního systému, včetně testování kontinuity v předem stanovených termínech a zajistit Objednateli potřebnou součinnost (zejména navrácení do původního stavu).</w:t>
      </w:r>
    </w:p>
    <w:p>
      <w:pPr>
        <w:pStyle w:val="Odstavecseseznamem"/>
        <w:numPr>
          <w:ilvl w:val="0"/>
          <w:numId w:val="18"/>
        </w:numPr>
        <w:suppressAutoHyphens w:val="0"/>
        <w:spacing w:before="60" w:after="60" w:line="240" w:lineRule="auto"/>
        <w:ind w:left="284"/>
        <w:contextualSpacing w:val="0"/>
        <w:jc w:val="both"/>
        <w:rPr>
          <w:rFonts w:cs="Arial"/>
        </w:rPr>
      </w:pPr>
      <w:r>
        <w:rPr>
          <w:rFonts w:cs="Arial"/>
        </w:rPr>
        <w:t>Dodavatel musí provádět nepřetržitý provozní monitoring aktiv za účelem včasné reakce Dodavatele na události, které by vedly ke snížení dostupnosti aktiv např. z důvodu nedostatku systémových zdrojů, nefunkčnosti komponent informačního nebo operačního sytému apod.</w:t>
      </w:r>
    </w:p>
    <w:p>
      <w:pPr>
        <w:spacing w:beforeLines="60" w:before="144" w:afterLines="60" w:after="144"/>
        <w:ind w:left="1080"/>
        <w:jc w:val="both"/>
        <w:rPr>
          <w:rFonts w:eastAsiaTheme="majorEastAsia" w:cs="Arial"/>
        </w:rPr>
      </w:pPr>
    </w:p>
    <w:p>
      <w:pPr>
        <w:pStyle w:val="Nadpis1"/>
        <w:numPr>
          <w:ilvl w:val="0"/>
          <w:numId w:val="10"/>
        </w:numPr>
        <w:tabs>
          <w:tab w:val="num" w:pos="0"/>
        </w:tabs>
        <w:spacing w:beforeLines="60" w:before="144" w:afterLines="60" w:after="144"/>
        <w:ind w:left="360"/>
        <w:jc w:val="both"/>
        <w:rPr>
          <w:rFonts w:ascii="Arial" w:hAnsi="Arial" w:cs="Arial"/>
          <w:b/>
          <w:bCs/>
          <w:color w:val="auto"/>
          <w:sz w:val="22"/>
          <w:szCs w:val="22"/>
        </w:rPr>
      </w:pPr>
      <w:r>
        <w:rPr>
          <w:rFonts w:ascii="Arial" w:hAnsi="Arial" w:cs="Arial"/>
          <w:b/>
          <w:bCs/>
          <w:color w:val="auto"/>
          <w:sz w:val="22"/>
          <w:szCs w:val="22"/>
        </w:rPr>
        <w:t>Ustanovení pro likvidaci dat</w:t>
      </w:r>
    </w:p>
    <w:p>
      <w:pPr>
        <w:pStyle w:val="Odstavecseseznamem"/>
        <w:numPr>
          <w:ilvl w:val="0"/>
          <w:numId w:val="19"/>
        </w:numPr>
        <w:suppressAutoHyphens w:val="0"/>
        <w:spacing w:before="60" w:after="60" w:line="240" w:lineRule="auto"/>
        <w:ind w:left="284"/>
        <w:contextualSpacing w:val="0"/>
        <w:jc w:val="both"/>
        <w:rPr>
          <w:rFonts w:cs="Arial"/>
        </w:rPr>
      </w:pPr>
      <w:r>
        <w:rPr>
          <w:rFonts w:cs="Arial"/>
        </w:rPr>
        <w:t xml:space="preserve">Dodavatel se zavazuje stanovit pravidla pro mazání dat a likvidaci technických nosičů a/nebo provozních údajů a/nebo informací a jejich kopií přiměřeně hodnotě, důležitosti a klasifikaci aktiv. </w:t>
      </w:r>
    </w:p>
    <w:p>
      <w:pPr>
        <w:pStyle w:val="Odstavecseseznamem"/>
        <w:numPr>
          <w:ilvl w:val="0"/>
          <w:numId w:val="19"/>
        </w:numPr>
        <w:suppressAutoHyphens w:val="0"/>
        <w:spacing w:before="60" w:after="60" w:line="240" w:lineRule="auto"/>
        <w:ind w:left="284"/>
        <w:contextualSpacing w:val="0"/>
        <w:jc w:val="both"/>
        <w:rPr>
          <w:rFonts w:cs="Arial"/>
        </w:rPr>
      </w:pPr>
      <w:r>
        <w:rPr>
          <w:rFonts w:cs="Arial"/>
        </w:rPr>
        <w:t>V případě, že Dodavatel disponuje daty Objednatele (resp. data zpracovávaná systémy Dodavatele), zavazuje se plnit požadavky Objednatele v oblasti likvidace dat (ať už dat zpracovávaných v listinné podobě, dat zpracovávaných elektronicky nebo prostřednictvím jakýchkoli dalších nosičů dat), která jsou v jeho působnosti.</w:t>
      </w:r>
    </w:p>
    <w:p>
      <w:pPr>
        <w:pStyle w:val="Odstavecseseznamem"/>
        <w:numPr>
          <w:ilvl w:val="0"/>
          <w:numId w:val="19"/>
        </w:numPr>
        <w:suppressAutoHyphens w:val="0"/>
        <w:spacing w:before="60" w:after="60" w:line="240" w:lineRule="auto"/>
        <w:ind w:left="284"/>
        <w:contextualSpacing w:val="0"/>
        <w:jc w:val="both"/>
        <w:rPr>
          <w:rFonts w:cs="Arial"/>
        </w:rPr>
      </w:pPr>
      <w:r>
        <w:rPr>
          <w:rFonts w:cs="Arial"/>
        </w:rPr>
        <w:t xml:space="preserve">Likvidaci dat nepodléhají data a informace, které je nutné ze zákona archivovat. </w:t>
      </w:r>
    </w:p>
    <w:p>
      <w:pPr>
        <w:rPr>
          <w:rFonts w:ascii="Arial" w:hAnsi="Arial" w:cs="Arial"/>
        </w:rPr>
      </w:pPr>
    </w:p>
    <w:p>
      <w:pPr>
        <w:spacing w:line="276" w:lineRule="auto"/>
        <w:jc w:val="both"/>
        <w:rPr>
          <w:rFonts w:ascii="Arial" w:hAnsi="Arial" w:cs="Arial"/>
        </w:rPr>
      </w:pPr>
    </w:p>
    <w:sectPr>
      <w:footerReference w:type="default" r:id="rId10"/>
      <w:pgSz w:w="11906" w:h="16838"/>
      <w:pgMar w:top="1417" w:right="1417" w:bottom="1417" w:left="1417" w:header="0"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rlito">
    <w:altName w:val="Calibri"/>
    <w:charset w:val="01"/>
    <w:family w:val="roman"/>
    <w:pitch w:val="variable"/>
  </w:font>
  <w:font w:name="DejaVu Sans">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Zpat"/>
      <w:jc w:val="center"/>
      <w:rPr>
        <w:i/>
        <w:iCs/>
        <w:sz w:val="20"/>
        <w:szCs w:val="20"/>
      </w:rPr>
    </w:pPr>
    <w:r>
      <w:rPr>
        <w:i/>
        <w:iCs/>
        <w:sz w:val="20"/>
        <w:szCs w:val="20"/>
      </w:rPr>
      <w:fldChar w:fldCharType="begin"/>
    </w:r>
    <w:r>
      <w:rPr>
        <w:i/>
        <w:iCs/>
        <w:sz w:val="20"/>
        <w:szCs w:val="20"/>
      </w:rPr>
      <w:instrText xml:space="preserve"> PAGE   \* MERGEFORMAT </w:instrText>
    </w:r>
    <w:r>
      <w:rPr>
        <w:i/>
        <w:iCs/>
        <w:sz w:val="20"/>
        <w:szCs w:val="20"/>
      </w:rPr>
      <w:fldChar w:fldCharType="separate"/>
    </w:r>
    <w:r>
      <w:rPr>
        <w:i/>
        <w:iCs/>
        <w:noProof/>
        <w:sz w:val="20"/>
        <w:szCs w:val="20"/>
      </w:rPr>
      <w:t>15</w:t>
    </w:r>
    <w:r>
      <w:rPr>
        <w:i/>
        <w:iCs/>
        <w:sz w:val="20"/>
        <w:szCs w:val="20"/>
      </w:rPr>
      <w:fldChar w:fldCharType="end"/>
    </w:r>
    <w:r>
      <w:rPr>
        <w:i/>
        <w:iCs/>
        <w:sz w:val="20"/>
        <w:szCs w:val="20"/>
      </w:rPr>
      <w:t xml:space="preserve"> / </w:t>
    </w:r>
    <w:r>
      <w:rPr>
        <w:i/>
        <w:iCs/>
        <w:sz w:val="20"/>
        <w:szCs w:val="20"/>
      </w:rPr>
      <w:fldChar w:fldCharType="begin"/>
    </w:r>
    <w:r>
      <w:rPr>
        <w:i/>
        <w:iCs/>
        <w:sz w:val="20"/>
        <w:szCs w:val="20"/>
      </w:rPr>
      <w:instrText xml:space="preserve"> NUMPAGES   \* MERGEFORMAT </w:instrText>
    </w:r>
    <w:r>
      <w:rPr>
        <w:i/>
        <w:iCs/>
        <w:sz w:val="20"/>
        <w:szCs w:val="20"/>
      </w:rPr>
      <w:fldChar w:fldCharType="separate"/>
    </w:r>
    <w:r>
      <w:rPr>
        <w:i/>
        <w:iCs/>
        <w:noProof/>
        <w:sz w:val="20"/>
        <w:szCs w:val="20"/>
      </w:rPr>
      <w:t>15</w:t>
    </w:r>
    <w:r>
      <w:rPr>
        <w:i/>
        <w:iCs/>
        <w:sz w:val="20"/>
        <w:szCs w:val="20"/>
      </w:rPr>
      <w:fldChar w:fldCharType="end"/>
    </w:r>
  </w:p>
  <w:p>
    <w:pPr>
      <w:pStyle w:val="Zpat"/>
      <w:jc w:val="center"/>
      <w:rPr>
        <w:i/>
        <w:iCs/>
        <w:sz w:val="20"/>
        <w:szCs w:val="20"/>
      </w:rPr>
    </w:pPr>
  </w:p>
  <w:p>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719A"/>
    <w:multiLevelType w:val="hybridMultilevel"/>
    <w:tmpl w:val="A3741D00"/>
    <w:lvl w:ilvl="0" w:tplc="FFFFFFFF">
      <w:start w:val="1"/>
      <w:numFmt w:val="lowerLetter"/>
      <w:lvlText w:val="%1."/>
      <w:lvlJc w:val="left"/>
      <w:pPr>
        <w:ind w:left="720" w:hanging="360"/>
      </w:pPr>
    </w:lvl>
    <w:lvl w:ilvl="1" w:tplc="04050001">
      <w:start w:val="1"/>
      <w:numFmt w:val="bullet"/>
      <w:lvlText w:val=""/>
      <w:lvlJc w:val="left"/>
      <w:pPr>
        <w:ind w:left="2203"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9A1069"/>
    <w:multiLevelType w:val="hybridMultilevel"/>
    <w:tmpl w:val="8FE6FFE6"/>
    <w:lvl w:ilvl="0" w:tplc="0405000F">
      <w:start w:val="1"/>
      <w:numFmt w:val="decimal"/>
      <w:lvlText w:val="%1."/>
      <w:lvlJc w:val="left"/>
      <w:pPr>
        <w:ind w:left="108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18D78AC"/>
    <w:multiLevelType w:val="hybridMultilevel"/>
    <w:tmpl w:val="8FE6FFE6"/>
    <w:lvl w:ilvl="0" w:tplc="FFFFFFFF">
      <w:start w:val="1"/>
      <w:numFmt w:val="decimal"/>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057631"/>
    <w:multiLevelType w:val="hybridMultilevel"/>
    <w:tmpl w:val="8FE6FFE6"/>
    <w:lvl w:ilvl="0" w:tplc="FFFFFFFF">
      <w:start w:val="1"/>
      <w:numFmt w:val="decimal"/>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FBB79CD"/>
    <w:multiLevelType w:val="hybridMultilevel"/>
    <w:tmpl w:val="B824DFA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0FA58CA"/>
    <w:multiLevelType w:val="multilevel"/>
    <w:tmpl w:val="2F484740"/>
    <w:lvl w:ilvl="0">
      <w:start w:val="1"/>
      <w:numFmt w:val="decimal"/>
      <w:pStyle w:val="AnZvr-im"/>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lowerRoman"/>
      <w:lvlText w:val="%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A3764D"/>
    <w:multiLevelType w:val="hybridMultilevel"/>
    <w:tmpl w:val="216A471A"/>
    <w:lvl w:ilvl="0" w:tplc="FFFFFFFF">
      <w:start w:val="1"/>
      <w:numFmt w:val="bullet"/>
      <w:lvlText w:val=""/>
      <w:lvlJc w:val="left"/>
      <w:pPr>
        <w:ind w:left="360" w:hanging="360"/>
      </w:pPr>
      <w:rPr>
        <w:rFonts w:ascii="Symbol" w:hAnsi="Symbol" w:hint="default"/>
      </w:rPr>
    </w:lvl>
    <w:lvl w:ilvl="1" w:tplc="0405000F">
      <w:start w:val="1"/>
      <w:numFmt w:val="decimal"/>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4DC57DC"/>
    <w:multiLevelType w:val="hybridMultilevel"/>
    <w:tmpl w:val="B63821FA"/>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247B9E"/>
    <w:multiLevelType w:val="hybridMultilevel"/>
    <w:tmpl w:val="B824DFA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E9F5113"/>
    <w:multiLevelType w:val="hybridMultilevel"/>
    <w:tmpl w:val="8FE6FFE6"/>
    <w:lvl w:ilvl="0" w:tplc="FFFFFFFF">
      <w:start w:val="1"/>
      <w:numFmt w:val="decimal"/>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4E65E5"/>
    <w:multiLevelType w:val="hybridMultilevel"/>
    <w:tmpl w:val="B824DFA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3F810318"/>
    <w:multiLevelType w:val="hybridMultilevel"/>
    <w:tmpl w:val="8FE6FFE6"/>
    <w:lvl w:ilvl="0" w:tplc="FFFFFFFF">
      <w:start w:val="1"/>
      <w:numFmt w:val="decimal"/>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11F0945"/>
    <w:multiLevelType w:val="hybridMultilevel"/>
    <w:tmpl w:val="8FE6FFE6"/>
    <w:lvl w:ilvl="0" w:tplc="FFFFFFFF">
      <w:start w:val="1"/>
      <w:numFmt w:val="decimal"/>
      <w:lvlText w:val="%1."/>
      <w:lvlJc w:val="left"/>
      <w:pPr>
        <w:ind w:left="10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4E3B4F"/>
    <w:multiLevelType w:val="hybridMultilevel"/>
    <w:tmpl w:val="B824DFA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9B558AF"/>
    <w:multiLevelType w:val="multilevel"/>
    <w:tmpl w:val="70DACF86"/>
    <w:lvl w:ilvl="0">
      <w:start w:val="1"/>
      <w:numFmt w:val="decimal"/>
      <w:lvlText w:val="%1."/>
      <w:lvlJc w:val="left"/>
      <w:pPr>
        <w:ind w:left="567" w:hanging="567"/>
      </w:pPr>
      <w:rPr>
        <w:rFonts w:ascii="Arial" w:hAnsi="Arial" w:cs="Arial" w:hint="default"/>
        <w:b w:val="0"/>
        <w:color w:val="auto"/>
        <w:sz w:val="22"/>
        <w:szCs w:val="22"/>
      </w:rPr>
    </w:lvl>
    <w:lvl w:ilvl="1">
      <w:start w:val="1"/>
      <w:numFmt w:val="decimal"/>
      <w:lvlText w:val="%1.%2."/>
      <w:lvlJc w:val="left"/>
      <w:pPr>
        <w:tabs>
          <w:tab w:val="num" w:pos="851"/>
        </w:tabs>
        <w:ind w:left="1134" w:hanging="567"/>
      </w:pPr>
      <w:rPr>
        <w:rFonts w:hint="default"/>
        <w:b w:val="0"/>
        <w:bCs/>
        <w:i w:val="0"/>
        <w:iCs/>
      </w:rPr>
    </w:lvl>
    <w:lvl w:ilvl="2">
      <w:start w:val="1"/>
      <w:numFmt w:val="decimal"/>
      <w:lvlText w:val="%1.%2.%3."/>
      <w:lvlJc w:val="left"/>
      <w:pPr>
        <w:ind w:left="1701" w:hanging="567"/>
      </w:pPr>
      <w:rPr>
        <w:rFonts w:hint="default"/>
      </w:rPr>
    </w:lvl>
    <w:lvl w:ilvl="3">
      <w:start w:val="1"/>
      <w:numFmt w:val="bullet"/>
      <w:lvlText w:val=""/>
      <w:lvlJc w:val="left"/>
      <w:pPr>
        <w:ind w:left="2061" w:hanging="360"/>
      </w:pPr>
      <w:rPr>
        <w:rFonts w:ascii="Symbol" w:hAnsi="Symbol"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5" w15:restartNumberingAfterBreak="0">
    <w:nsid w:val="4EDC1AAB"/>
    <w:multiLevelType w:val="hybridMultilevel"/>
    <w:tmpl w:val="971A6A48"/>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FCB5DB1"/>
    <w:multiLevelType w:val="hybridMultilevel"/>
    <w:tmpl w:val="9CF4E1E6"/>
    <w:lvl w:ilvl="0" w:tplc="23CE2212">
      <w:start w:val="1"/>
      <w:numFmt w:val="upperRoman"/>
      <w:lvlText w:val="%1."/>
      <w:lvlJc w:val="left"/>
      <w:pPr>
        <w:ind w:left="720" w:hanging="360"/>
      </w:pPr>
      <w:rPr>
        <w:rFonts w:cs="Times New Roman" w:hint="default"/>
        <w:b/>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EF36E0E"/>
    <w:multiLevelType w:val="hybridMultilevel"/>
    <w:tmpl w:val="B824DFAC"/>
    <w:lvl w:ilvl="0" w:tplc="04050019">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664A6C5D"/>
    <w:multiLevelType w:val="hybridMultilevel"/>
    <w:tmpl w:val="BAFA9984"/>
    <w:lvl w:ilvl="0" w:tplc="CFDCBF40">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4"/>
  </w:num>
  <w:num w:numId="2">
    <w:abstractNumId w:val="16"/>
  </w:num>
  <w:num w:numId="3">
    <w:abstractNumId w:val="5"/>
  </w:num>
  <w:num w:numId="4">
    <w:abstractNumId w:val="18"/>
  </w:num>
  <w:num w:numId="5">
    <w:abstractNumId w:val="15"/>
  </w:num>
  <w:num w:numId="6">
    <w:abstractNumId w:val="0"/>
  </w:num>
  <w:num w:numId="7">
    <w:abstractNumId w:val="4"/>
  </w:num>
  <w:num w:numId="8">
    <w:abstractNumId w:val="8"/>
  </w:num>
  <w:num w:numId="9">
    <w:abstractNumId w:val="6"/>
  </w:num>
  <w:num w:numId="10">
    <w:abstractNumId w:val="7"/>
  </w:num>
  <w:num w:numId="11">
    <w:abstractNumId w:val="17"/>
  </w:num>
  <w:num w:numId="12">
    <w:abstractNumId w:val="1"/>
  </w:num>
  <w:num w:numId="13">
    <w:abstractNumId w:val="10"/>
  </w:num>
  <w:num w:numId="14">
    <w:abstractNumId w:val="13"/>
  </w:num>
  <w:num w:numId="15">
    <w:abstractNumId w:val="12"/>
  </w:num>
  <w:num w:numId="16">
    <w:abstractNumId w:val="3"/>
  </w:num>
  <w:num w:numId="17">
    <w:abstractNumId w:val="11"/>
  </w:num>
  <w:num w:numId="18">
    <w:abstractNumId w:val="2"/>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EE5B31-74E3-C841-BA3E-3F6A7FE77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60" w:line="259" w:lineRule="auto"/>
    </w:pPr>
  </w:style>
  <w:style w:type="paragraph" w:styleId="Nadpis1">
    <w:name w:val="heading 1"/>
    <w:basedOn w:val="Normln"/>
    <w:next w:val="Normln"/>
    <w:link w:val="Nadpis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uiPriority w:val="9"/>
    <w:semiHidden/>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qFormat/>
    <w:rPr>
      <w:rFonts w:asciiTheme="majorHAnsi" w:eastAsiaTheme="majorEastAsia" w:hAnsiTheme="majorHAnsi" w:cstheme="majorBidi"/>
      <w:color w:val="2F5496" w:themeColor="accent1" w:themeShade="BF"/>
      <w:sz w:val="32"/>
      <w:szCs w:val="32"/>
    </w:rPr>
  </w:style>
  <w:style w:type="character" w:styleId="Hypertextovodkaz">
    <w:name w:val="Hyperlink"/>
    <w:basedOn w:val="Standardnpsmoodstavce"/>
    <w:uiPriority w:val="99"/>
    <w:unhideWhenUsed/>
    <w:rPr>
      <w:color w:val="0563C1" w:themeColor="hyperlink"/>
      <w:u w:val="single"/>
    </w:rPr>
  </w:style>
  <w:style w:type="character" w:customStyle="1" w:styleId="TextbublinyChar">
    <w:name w:val="Text bubliny Char"/>
    <w:basedOn w:val="Standardnpsmoodstavce"/>
    <w:link w:val="Textbubliny"/>
    <w:uiPriority w:val="99"/>
    <w:semiHidden/>
    <w:qFormat/>
    <w:rPr>
      <w:rFonts w:ascii="Tahoma" w:hAnsi="Tahoma" w:cs="Tahoma"/>
      <w:sz w:val="16"/>
      <w:szCs w:val="16"/>
    </w:rPr>
  </w:style>
  <w:style w:type="character" w:styleId="Odkaznakoment">
    <w:name w:val="annotation reference"/>
    <w:basedOn w:val="Standardnpsmoodstavce"/>
    <w:uiPriority w:val="99"/>
    <w:unhideWhenUsed/>
    <w:qFormat/>
    <w:rPr>
      <w:sz w:val="16"/>
      <w:szCs w:val="16"/>
    </w:rPr>
  </w:style>
  <w:style w:type="character" w:customStyle="1" w:styleId="TextkomenteChar">
    <w:name w:val="Text komentáře Char"/>
    <w:basedOn w:val="Standardnpsmoodstavce"/>
    <w:link w:val="Textkomente"/>
    <w:uiPriority w:val="99"/>
    <w:qFormat/>
    <w:rPr>
      <w:sz w:val="20"/>
      <w:szCs w:val="20"/>
    </w:rPr>
  </w:style>
  <w:style w:type="character" w:customStyle="1" w:styleId="PedmtkomenteChar">
    <w:name w:val="Předmět komentáře Char"/>
    <w:basedOn w:val="TextkomenteChar"/>
    <w:link w:val="Pedmtkomente"/>
    <w:uiPriority w:val="99"/>
    <w:semiHidden/>
    <w:qFormat/>
    <w:rPr>
      <w:b/>
      <w:bCs/>
      <w:sz w:val="20"/>
      <w:szCs w:val="20"/>
    </w:rPr>
  </w:style>
  <w:style w:type="character" w:customStyle="1" w:styleId="IndexLink">
    <w:name w:val="Index Link"/>
    <w:qFormat/>
  </w:style>
  <w:style w:type="character" w:customStyle="1" w:styleId="LineNumbering">
    <w:name w:val="Line Numbering"/>
  </w:style>
  <w:style w:type="paragraph" w:customStyle="1" w:styleId="Heading">
    <w:name w:val="Heading"/>
    <w:basedOn w:val="Normln"/>
    <w:next w:val="Zkladntext"/>
    <w:qFormat/>
    <w:pPr>
      <w:keepNext/>
      <w:spacing w:before="240" w:after="120"/>
    </w:pPr>
    <w:rPr>
      <w:rFonts w:ascii="Carlito" w:eastAsia="DejaVu Sans" w:hAnsi="Carlito" w:cs="DejaVu Sans"/>
      <w:sz w:val="28"/>
      <w:szCs w:val="28"/>
    </w:rPr>
  </w:style>
  <w:style w:type="paragraph" w:styleId="Zkladntext">
    <w:name w:val="Body Text"/>
    <w:basedOn w:val="Normln"/>
    <w:pPr>
      <w:spacing w:after="140" w:line="276" w:lineRule="auto"/>
    </w:pPr>
  </w:style>
  <w:style w:type="paragraph" w:styleId="Seznam">
    <w:name w:val="List"/>
    <w:basedOn w:val="Zkladntext"/>
  </w:style>
  <w:style w:type="paragraph" w:styleId="Titulek">
    <w:name w:val="caption"/>
    <w:basedOn w:val="Normln"/>
    <w:qFormat/>
    <w:pPr>
      <w:suppressLineNumbers/>
      <w:spacing w:before="120" w:after="120"/>
    </w:pPr>
    <w:rPr>
      <w:i/>
      <w:iCs/>
      <w:sz w:val="24"/>
      <w:szCs w:val="24"/>
    </w:rPr>
  </w:style>
  <w:style w:type="paragraph" w:customStyle="1" w:styleId="Index">
    <w:name w:val="Index"/>
    <w:basedOn w:val="Normln"/>
    <w:qFormat/>
    <w:pPr>
      <w:suppressLineNumbers/>
    </w:pPr>
  </w:style>
  <w:style w:type="paragraph" w:styleId="Hlavikarejstku">
    <w:name w:val="index heading"/>
    <w:basedOn w:val="Heading"/>
  </w:style>
  <w:style w:type="paragraph" w:styleId="Nadpisobsahu">
    <w:name w:val="TOC Heading"/>
    <w:basedOn w:val="Nadpis1"/>
    <w:next w:val="Normln"/>
    <w:uiPriority w:val="39"/>
    <w:unhideWhenUsed/>
    <w:qFormat/>
    <w:pPr>
      <w:outlineLvl w:val="9"/>
    </w:pPr>
    <w:rPr>
      <w:lang w:eastAsia="cs-CZ"/>
    </w:rPr>
  </w:style>
  <w:style w:type="paragraph" w:styleId="Odstavecseseznamem">
    <w:name w:val="List Paragraph"/>
    <w:aliases w:val="cp_Odstavec se seznamem,Bullet Number,Bullet List,FooterText,numbered,List Paragraph1,Paragraphe de liste1,Bulletr List Paragraph,列出段落,列出段落1,List Paragraph2,List Paragraph21,Listeafsnit1,Parágrafo da Lista1,Párrafo de lista1,リスト段落1"/>
    <w:basedOn w:val="Normln"/>
    <w:link w:val="OdstavecseseznamemChar"/>
    <w:uiPriority w:val="1"/>
    <w:qFormat/>
    <w:pPr>
      <w:ind w:left="720"/>
      <w:contextualSpacing/>
    </w:pPr>
  </w:style>
  <w:style w:type="paragraph" w:styleId="Obsah1">
    <w:name w:val="toc 1"/>
    <w:basedOn w:val="Normln"/>
    <w:next w:val="Normln"/>
    <w:autoRedefine/>
    <w:uiPriority w:val="39"/>
    <w:unhideWhenUsed/>
    <w:pPr>
      <w:spacing w:after="100"/>
    </w:pPr>
  </w:style>
  <w:style w:type="paragraph" w:styleId="Textbubliny">
    <w:name w:val="Balloon Text"/>
    <w:basedOn w:val="Normln"/>
    <w:link w:val="TextbublinyChar"/>
    <w:uiPriority w:val="99"/>
    <w:semiHidden/>
    <w:unhideWhenUsed/>
    <w:qFormat/>
    <w:pPr>
      <w:spacing w:after="0" w:line="240" w:lineRule="auto"/>
    </w:pPr>
    <w:rPr>
      <w:rFonts w:ascii="Tahoma" w:hAnsi="Tahoma" w:cs="Tahoma"/>
      <w:sz w:val="16"/>
      <w:szCs w:val="16"/>
    </w:rPr>
  </w:style>
  <w:style w:type="paragraph" w:styleId="Textkomente">
    <w:name w:val="annotation text"/>
    <w:basedOn w:val="Normln"/>
    <w:link w:val="TextkomenteChar"/>
    <w:uiPriority w:val="99"/>
    <w:unhideWhenUsed/>
    <w:qFormat/>
    <w:pPr>
      <w:spacing w:line="240" w:lineRule="auto"/>
    </w:pPr>
    <w:rPr>
      <w:sz w:val="20"/>
      <w:szCs w:val="20"/>
    </w:rPr>
  </w:style>
  <w:style w:type="paragraph" w:styleId="Pedmtkomente">
    <w:name w:val="annotation subject"/>
    <w:basedOn w:val="Textkomente"/>
    <w:next w:val="Textkomente"/>
    <w:link w:val="PedmtkomenteChar"/>
    <w:uiPriority w:val="99"/>
    <w:semiHidden/>
    <w:unhideWhenUsed/>
    <w:qFormat/>
    <w:rPr>
      <w:b/>
      <w:bCs/>
    </w:rPr>
  </w:style>
  <w:style w:type="paragraph" w:customStyle="1" w:styleId="Normlntabulka1">
    <w:name w:val="Normální tabulka1"/>
    <w:qFormat/>
    <w:rPr>
      <w:rFonts w:eastAsia="Cambria Math" w:cs="Calibri"/>
    </w:rPr>
  </w:style>
  <w:style w:type="table" w:styleId="Mkatabulky">
    <w:name w:val="Table Grid"/>
    <w:basedOn w:val="Normlntabulk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pPr>
      <w:tabs>
        <w:tab w:val="center" w:pos="4536"/>
        <w:tab w:val="right" w:pos="9072"/>
      </w:tabs>
      <w:spacing w:after="0" w:line="240" w:lineRule="auto"/>
    </w:pPr>
  </w:style>
  <w:style w:type="character" w:customStyle="1" w:styleId="ZhlavChar">
    <w:name w:val="Záhlaví Char"/>
    <w:basedOn w:val="Standardnpsmoodstavce"/>
    <w:link w:val="Zhlav"/>
    <w:uiPriority w:val="99"/>
  </w:style>
  <w:style w:type="paragraph" w:styleId="Zpat">
    <w:name w:val="footer"/>
    <w:basedOn w:val="Normln"/>
    <w:link w:val="ZpatChar"/>
    <w:uiPriority w:val="99"/>
    <w:unhideWhenUsed/>
    <w:pPr>
      <w:tabs>
        <w:tab w:val="center" w:pos="4536"/>
        <w:tab w:val="right" w:pos="9072"/>
      </w:tabs>
      <w:spacing w:after="0" w:line="240" w:lineRule="auto"/>
    </w:pPr>
  </w:style>
  <w:style w:type="character" w:customStyle="1" w:styleId="ZpatChar">
    <w:name w:val="Zápatí Char"/>
    <w:basedOn w:val="Standardnpsmoodstavce"/>
    <w:link w:val="Zpat"/>
    <w:uiPriority w:val="99"/>
  </w:style>
  <w:style w:type="paragraph" w:styleId="Revize">
    <w:name w:val="Revision"/>
    <w:hidden/>
    <w:uiPriority w:val="99"/>
    <w:semiHidden/>
    <w:pPr>
      <w:suppressAutoHyphens w:val="0"/>
    </w:pPr>
  </w:style>
  <w:style w:type="table" w:customStyle="1" w:styleId="Mkatabulky12">
    <w:name w:val="Mřížka tabulky12"/>
    <w:basedOn w:val="Normlntabulka"/>
    <w:next w:val="Mkatabulky"/>
    <w:uiPriority w:val="99"/>
    <w:pPr>
      <w:suppressAutoHyphens w:val="0"/>
      <w:jc w:val="both"/>
    </w:pPr>
    <w:rPr>
      <w:rFonts w:ascii="Arial Narrow" w:eastAsia="Times New Roman" w:hAnsi="Arial Narrow" w:cs="Times New Roman"/>
      <w:szCs w:val="24"/>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Pr>
      <w:color w:val="808080"/>
    </w:rPr>
  </w:style>
  <w:style w:type="paragraph" w:customStyle="1" w:styleId="5varianta">
    <w:name w:val="5varianta"/>
    <w:basedOn w:val="Normln"/>
    <w:qFormat/>
    <w:pPr>
      <w:keepNext/>
      <w:shd w:val="clear" w:color="auto" w:fill="FFFF00"/>
      <w:suppressAutoHyphens w:val="0"/>
      <w:spacing w:before="360" w:after="120" w:line="240" w:lineRule="auto"/>
      <w:jc w:val="both"/>
    </w:pPr>
    <w:rPr>
      <w:rFonts w:ascii="Calibri" w:eastAsia="Calibri" w:hAnsi="Calibri" w:cs="Times New Roman"/>
      <w:b/>
      <w:i/>
      <w:u w:val="single"/>
    </w:rPr>
  </w:style>
  <w:style w:type="character" w:customStyle="1" w:styleId="OdstavecseseznamemChar">
    <w:name w:val="Odstavec se seznamem Char"/>
    <w:aliases w:val="cp_Odstavec se seznamem Char,Bullet Number Char,Bullet List Char,FooterText Char,numbered Char,List Paragraph1 Char,Paragraphe de liste1 Char,Bulletr List Paragraph Char,列出段落 Char,列出段落1 Char,List Paragraph2 Char,リスト段落1 Char"/>
    <w:link w:val="Odstavecseseznamem"/>
    <w:uiPriority w:val="1"/>
    <w:qFormat/>
    <w:locked/>
  </w:style>
  <w:style w:type="paragraph" w:customStyle="1" w:styleId="AnZvr-im">
    <w:name w:val="!An Závěr - řim. č."/>
    <w:basedOn w:val="Normln"/>
    <w:qFormat/>
    <w:pPr>
      <w:numPr>
        <w:numId w:val="3"/>
      </w:numPr>
      <w:shd w:val="clear" w:color="auto" w:fill="FFFFFF"/>
      <w:suppressAutoHyphens w:val="0"/>
      <w:spacing w:before="120" w:after="120" w:line="240" w:lineRule="auto"/>
      <w:ind w:left="1418" w:hanging="709"/>
      <w:jc w:val="both"/>
    </w:pPr>
    <w:rPr>
      <w:rFonts w:ascii="Calibri" w:eastAsia="Times New Roman" w:hAnsi="Calibri" w:cs="Times New Roman"/>
      <w:b/>
      <w:sz w:val="24"/>
      <w:szCs w:val="24"/>
      <w:lang w:eastAsia="cs-CZ"/>
    </w:rPr>
  </w:style>
  <w:style w:type="paragraph" w:customStyle="1" w:styleId="AnNormal">
    <w:name w:val="!An Normal"/>
    <w:basedOn w:val="Normln"/>
    <w:link w:val="AnNormalChar"/>
    <w:qFormat/>
    <w:pPr>
      <w:shd w:val="clear" w:color="auto" w:fill="FFFFFF"/>
      <w:suppressAutoHyphens w:val="0"/>
      <w:spacing w:before="120" w:after="120" w:line="240" w:lineRule="auto"/>
      <w:ind w:left="709"/>
      <w:jc w:val="both"/>
    </w:pPr>
    <w:rPr>
      <w:rFonts w:ascii="Calibri" w:eastAsia="Calibri" w:hAnsi="Calibri" w:cs="Times New Roman"/>
      <w:sz w:val="24"/>
      <w:szCs w:val="24"/>
      <w:lang w:eastAsia="cs-CZ"/>
    </w:rPr>
  </w:style>
  <w:style w:type="character" w:customStyle="1" w:styleId="AnNormalChar">
    <w:name w:val="!An Normal Char"/>
    <w:basedOn w:val="Standardnpsmoodstavce"/>
    <w:link w:val="AnNormal"/>
    <w:locked/>
    <w:rPr>
      <w:rFonts w:ascii="Calibri" w:eastAsia="Calibri" w:hAnsi="Calibri" w:cs="Times New Roman"/>
      <w:sz w:val="24"/>
      <w:szCs w:val="24"/>
      <w:shd w:val="clear" w:color="auto" w:fill="FFFFFF"/>
      <w:lang w:eastAsia="cs-CZ"/>
    </w:rPr>
  </w:style>
  <w:style w:type="paragraph" w:styleId="Zkladntext2">
    <w:name w:val="Body Text 2"/>
    <w:basedOn w:val="Normln"/>
    <w:link w:val="Zkladntext2Char"/>
    <w:uiPriority w:val="99"/>
    <w:semiHidden/>
    <w:unhideWhenUsed/>
    <w:pPr>
      <w:suppressAutoHyphens w:val="0"/>
      <w:spacing w:after="120" w:line="480" w:lineRule="auto"/>
    </w:pPr>
    <w:rPr>
      <w:rFonts w:ascii="Times New Roman" w:eastAsia="Times New Roman" w:hAnsi="Times New Roman" w:cs="Times New Roman"/>
      <w:sz w:val="20"/>
      <w:szCs w:val="20"/>
      <w:lang w:eastAsia="cs-CZ"/>
    </w:rPr>
  </w:style>
  <w:style w:type="character" w:customStyle="1" w:styleId="Zkladntext2Char">
    <w:name w:val="Základní text 2 Char"/>
    <w:basedOn w:val="Standardnpsmoodstavce"/>
    <w:link w:val="Zkladntext2"/>
    <w:uiPriority w:val="99"/>
    <w:semiHidden/>
    <w:rPr>
      <w:rFonts w:ascii="Times New Roman" w:eastAsia="Times New Roman" w:hAnsi="Times New Roman" w:cs="Times New Roman"/>
      <w:sz w:val="20"/>
      <w:szCs w:val="20"/>
      <w:lang w:eastAsia="cs-CZ"/>
    </w:rPr>
  </w:style>
  <w:style w:type="character" w:customStyle="1" w:styleId="Nadpis2CharChar">
    <w:name w:val="Nadpis 2 Char Char"/>
    <w:rPr>
      <w:noProof w:val="0"/>
      <w:sz w:val="24"/>
      <w:lang w:val="cs-CZ" w:eastAsia="cs-CZ" w:bidi="ar-SA"/>
    </w:rPr>
  </w:style>
  <w:style w:type="paragraph" w:customStyle="1" w:styleId="Odstavec">
    <w:name w:val="Odstavec"/>
    <w:basedOn w:val="Zkladntext"/>
    <w:pPr>
      <w:widowControl w:val="0"/>
      <w:overflowPunct w:val="0"/>
      <w:autoSpaceDE w:val="0"/>
      <w:spacing w:after="0" w:line="240" w:lineRule="auto"/>
      <w:ind w:firstLine="539"/>
      <w:jc w:val="both"/>
      <w:textAlignment w:val="baseline"/>
    </w:pPr>
    <w:rPr>
      <w:rFonts w:ascii="Times New Roman" w:eastAsia="Times New Roman" w:hAnsi="Times New Roman" w:cs="Times New Roman"/>
      <w:color w:val="000000"/>
      <w:sz w:val="24"/>
      <w:szCs w:val="20"/>
      <w:lang w:val="x-none" w:eastAsia="ar-SA"/>
    </w:rPr>
  </w:style>
  <w:style w:type="paragraph" w:customStyle="1" w:styleId="SML111">
    <w:name w:val="!SML 1.1.1."/>
    <w:basedOn w:val="Normln"/>
    <w:link w:val="SML111Char"/>
    <w:qFormat/>
    <w:pPr>
      <w:suppressAutoHyphens w:val="0"/>
      <w:spacing w:before="120" w:after="120" w:line="240" w:lineRule="auto"/>
      <w:jc w:val="both"/>
      <w:outlineLvl w:val="1"/>
    </w:pPr>
    <w:rPr>
      <w:rFonts w:ascii="Calibri" w:eastAsia="Times New Roman" w:hAnsi="Calibri" w:cs="Arial"/>
      <w:shd w:val="clear" w:color="auto" w:fill="FFFFFF"/>
      <w:lang w:eastAsia="ar-SA"/>
    </w:rPr>
  </w:style>
  <w:style w:type="character" w:customStyle="1" w:styleId="SML111Char">
    <w:name w:val="!SML 1.1.1. Char"/>
    <w:basedOn w:val="Standardnpsmoodstavce"/>
    <w:link w:val="SML111"/>
    <w:rPr>
      <w:rFonts w:ascii="Calibri" w:eastAsia="Times New Roman" w:hAnsi="Calibri" w:cs="Arial"/>
      <w:lang w:eastAsia="ar-SA"/>
    </w:rPr>
  </w:style>
  <w:style w:type="paragraph" w:customStyle="1" w:styleId="Kapitola">
    <w:name w:val="Kapitola"/>
    <w:link w:val="KapitolaChar"/>
    <w:qFormat/>
    <w:pPr>
      <w:tabs>
        <w:tab w:val="left" w:pos="567"/>
      </w:tabs>
      <w:suppressAutoHyphens w:val="0"/>
      <w:spacing w:before="240" w:after="60"/>
      <w:ind w:left="567" w:hanging="567"/>
    </w:pPr>
    <w:rPr>
      <w:rFonts w:ascii="Times New Roman" w:eastAsia="Times New Roman" w:hAnsi="Times New Roman" w:cs="Times New Roman"/>
      <w:b/>
      <w:sz w:val="24"/>
      <w:szCs w:val="24"/>
      <w:u w:val="single"/>
      <w:lang w:eastAsia="cs-CZ"/>
    </w:rPr>
  </w:style>
  <w:style w:type="character" w:customStyle="1" w:styleId="KapitolaChar">
    <w:name w:val="Kapitola Char"/>
    <w:basedOn w:val="Standardnpsmoodstavce"/>
    <w:link w:val="Kapitola"/>
    <w:rPr>
      <w:rFonts w:ascii="Times New Roman" w:eastAsia="Times New Roman" w:hAnsi="Times New Roman" w:cs="Times New Roman"/>
      <w:b/>
      <w:sz w:val="24"/>
      <w:szCs w:val="24"/>
      <w:u w:val="single"/>
      <w:lang w:eastAsia="cs-CZ"/>
    </w:rPr>
  </w:style>
  <w:style w:type="character" w:styleId="Siln">
    <w:name w:val="Strong"/>
    <w:basedOn w:val="Standardnpsmoodstavce"/>
    <w:qFormat/>
    <w:rPr>
      <w:b/>
      <w:bCs/>
    </w:rPr>
  </w:style>
  <w:style w:type="paragraph" w:styleId="Bezmezer">
    <w:name w:val="No Spacing"/>
    <w:link w:val="BezmezerChar"/>
    <w:uiPriority w:val="1"/>
    <w:qFormat/>
    <w:pPr>
      <w:tabs>
        <w:tab w:val="left" w:pos="680"/>
        <w:tab w:val="left" w:pos="1474"/>
        <w:tab w:val="left" w:pos="2268"/>
      </w:tabs>
      <w:suppressAutoHyphens w:val="0"/>
      <w:spacing w:line="320" w:lineRule="exact"/>
      <w:jc w:val="both"/>
    </w:pPr>
    <w:rPr>
      <w:rFonts w:ascii="Calibri" w:eastAsia="Calibri" w:hAnsi="Calibri" w:cs="Times New Roman"/>
    </w:rPr>
  </w:style>
  <w:style w:type="character" w:customStyle="1" w:styleId="BezmezerChar">
    <w:name w:val="Bez mezer Char"/>
    <w:link w:val="Bezmezer"/>
    <w:uiPriority w:val="1"/>
    <w:rPr>
      <w:rFonts w:ascii="Calibri" w:eastAsia="Calibri" w:hAnsi="Calibri" w:cs="Times New Roman"/>
    </w:rPr>
  </w:style>
  <w:style w:type="paragraph" w:customStyle="1" w:styleId="seznam1">
    <w:name w:val="seznam1"/>
    <w:basedOn w:val="Normln"/>
    <w:link w:val="seznam1Char"/>
    <w:pPr>
      <w:keepLines/>
      <w:tabs>
        <w:tab w:val="num" w:pos="720"/>
      </w:tabs>
      <w:suppressAutoHyphens w:val="0"/>
      <w:spacing w:before="120" w:after="120" w:line="240" w:lineRule="auto"/>
      <w:ind w:left="720" w:hanging="360"/>
    </w:pPr>
    <w:rPr>
      <w:rFonts w:ascii="Arial" w:eastAsia="Times New Roman" w:hAnsi="Arial" w:cs="Times New Roman"/>
      <w:sz w:val="20"/>
      <w:szCs w:val="24"/>
      <w:lang w:eastAsia="cs-CZ"/>
    </w:rPr>
  </w:style>
  <w:style w:type="character" w:customStyle="1" w:styleId="seznam1Char">
    <w:name w:val="seznam1 Char"/>
    <w:link w:val="seznam1"/>
    <w:rPr>
      <w:rFonts w:ascii="Arial" w:eastAsia="Times New Roman" w:hAnsi="Arial" w:cs="Times New Roman"/>
      <w:sz w:val="20"/>
      <w:szCs w:val="24"/>
      <w:lang w:eastAsia="cs-CZ"/>
    </w:rPr>
  </w:style>
  <w:style w:type="character" w:styleId="Nevyeenzmnka">
    <w:name w:val="Unresolved Mention"/>
    <w:basedOn w:val="Standardnpsmoodstavce"/>
    <w:uiPriority w:val="99"/>
    <w:semiHidden/>
    <w:unhideWhenUsed/>
    <w:rPr>
      <w:color w:val="605E5C"/>
      <w:shd w:val="clear" w:color="auto" w:fill="E1DFDD"/>
    </w:rPr>
  </w:style>
  <w:style w:type="paragraph" w:styleId="Normlnweb">
    <w:name w:val="Normal (Web)"/>
    <w:basedOn w:val="Normln"/>
    <w:uiPriority w:val="99"/>
    <w:semiHidden/>
    <w:unhideWhenUsed/>
    <w:pPr>
      <w:suppressAutoHyphens w:val="0"/>
      <w:spacing w:before="100" w:beforeAutospacing="1" w:after="100" w:afterAutospacing="1" w:line="240" w:lineRule="auto"/>
    </w:pPr>
    <w:rPr>
      <w:rFonts w:ascii="Times New Roman" w:eastAsia="Times New Roman" w:hAnsi="Times New Roman" w:cs="Times New Roman"/>
      <w:sz w:val="24"/>
      <w:szCs w:val="24"/>
      <w:lang w:eastAsia="cs-CZ"/>
    </w:rPr>
  </w:style>
  <w:style w:type="character" w:customStyle="1" w:styleId="docdata">
    <w:name w:val="docdata"/>
    <w:aliases w:val="docy,v5,3826,bqiaagaaeaghaaagracaaanqcgaabskoaaaaaaaaaaaaaaaaaaaaaaaaaaaaaaaaaaaaaaaaaaaaaaaaaaaaaaaaaaaaaaaaaaaaaaaaaaaaaaaaaaaaaaaaaaaaaaaaaaaaaaaaaaaaaaaaaaaaaaaaaaaaaaaaaaaaaaaaaaaaaaaaaaaaaaaaaaaaaaaaaaaaaaaaaaaaaaaaaaaaaaaaaaaaaaaaaaaaaaaa"/>
    <w:basedOn w:val="Standardnpsmoodstavce"/>
  </w:style>
  <w:style w:type="character" w:customStyle="1" w:styleId="apple-converted-space">
    <w:name w:val="apple-converted-space"/>
    <w:basedOn w:val="Standardnpsmoodstavce"/>
  </w:style>
  <w:style w:type="character" w:customStyle="1" w:styleId="Nadpis2Char">
    <w:name w:val="Nadpis 2 Char"/>
    <w:basedOn w:val="Standardnpsmoodstavce"/>
    <w:link w:val="Nadpis2"/>
    <w:uiPriority w:val="9"/>
    <w:semiHidden/>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367190">
      <w:bodyDiv w:val="1"/>
      <w:marLeft w:val="0"/>
      <w:marRight w:val="0"/>
      <w:marTop w:val="0"/>
      <w:marBottom w:val="0"/>
      <w:divBdr>
        <w:top w:val="none" w:sz="0" w:space="0" w:color="auto"/>
        <w:left w:val="none" w:sz="0" w:space="0" w:color="auto"/>
        <w:bottom w:val="none" w:sz="0" w:space="0" w:color="auto"/>
        <w:right w:val="none" w:sz="0" w:space="0" w:color="auto"/>
      </w:divBdr>
    </w:div>
    <w:div w:id="215625070">
      <w:bodyDiv w:val="1"/>
      <w:marLeft w:val="0"/>
      <w:marRight w:val="0"/>
      <w:marTop w:val="0"/>
      <w:marBottom w:val="0"/>
      <w:divBdr>
        <w:top w:val="none" w:sz="0" w:space="0" w:color="auto"/>
        <w:left w:val="none" w:sz="0" w:space="0" w:color="auto"/>
        <w:bottom w:val="none" w:sz="0" w:space="0" w:color="auto"/>
        <w:right w:val="none" w:sz="0" w:space="0" w:color="auto"/>
      </w:divBdr>
    </w:div>
    <w:div w:id="567154107">
      <w:bodyDiv w:val="1"/>
      <w:marLeft w:val="0"/>
      <w:marRight w:val="0"/>
      <w:marTop w:val="0"/>
      <w:marBottom w:val="0"/>
      <w:divBdr>
        <w:top w:val="none" w:sz="0" w:space="0" w:color="auto"/>
        <w:left w:val="none" w:sz="0" w:space="0" w:color="auto"/>
        <w:bottom w:val="none" w:sz="0" w:space="0" w:color="auto"/>
        <w:right w:val="none" w:sz="0" w:space="0" w:color="auto"/>
      </w:divBdr>
    </w:div>
    <w:div w:id="1103184367">
      <w:bodyDiv w:val="1"/>
      <w:marLeft w:val="0"/>
      <w:marRight w:val="0"/>
      <w:marTop w:val="0"/>
      <w:marBottom w:val="0"/>
      <w:divBdr>
        <w:top w:val="none" w:sz="0" w:space="0" w:color="auto"/>
        <w:left w:val="none" w:sz="0" w:space="0" w:color="auto"/>
        <w:bottom w:val="none" w:sz="0" w:space="0" w:color="auto"/>
        <w:right w:val="none" w:sz="0" w:space="0" w:color="auto"/>
      </w:divBdr>
    </w:div>
    <w:div w:id="1180512345">
      <w:bodyDiv w:val="1"/>
      <w:marLeft w:val="0"/>
      <w:marRight w:val="0"/>
      <w:marTop w:val="0"/>
      <w:marBottom w:val="0"/>
      <w:divBdr>
        <w:top w:val="none" w:sz="0" w:space="0" w:color="auto"/>
        <w:left w:val="none" w:sz="0" w:space="0" w:color="auto"/>
        <w:bottom w:val="none" w:sz="0" w:space="0" w:color="auto"/>
        <w:right w:val="none" w:sz="0" w:space="0" w:color="auto"/>
      </w:divBdr>
    </w:div>
    <w:div w:id="1275013708">
      <w:bodyDiv w:val="1"/>
      <w:marLeft w:val="0"/>
      <w:marRight w:val="0"/>
      <w:marTop w:val="0"/>
      <w:marBottom w:val="0"/>
      <w:divBdr>
        <w:top w:val="none" w:sz="0" w:space="0" w:color="auto"/>
        <w:left w:val="none" w:sz="0" w:space="0" w:color="auto"/>
        <w:bottom w:val="none" w:sz="0" w:space="0" w:color="auto"/>
        <w:right w:val="none" w:sz="0" w:space="0" w:color="auto"/>
      </w:divBdr>
    </w:div>
    <w:div w:id="1349678472">
      <w:bodyDiv w:val="1"/>
      <w:marLeft w:val="0"/>
      <w:marRight w:val="0"/>
      <w:marTop w:val="0"/>
      <w:marBottom w:val="0"/>
      <w:divBdr>
        <w:top w:val="none" w:sz="0" w:space="0" w:color="auto"/>
        <w:left w:val="none" w:sz="0" w:space="0" w:color="auto"/>
        <w:bottom w:val="none" w:sz="0" w:space="0" w:color="auto"/>
        <w:right w:val="none" w:sz="0" w:space="0" w:color="auto"/>
      </w:divBdr>
    </w:div>
    <w:div w:id="1596861398">
      <w:bodyDiv w:val="1"/>
      <w:marLeft w:val="0"/>
      <w:marRight w:val="0"/>
      <w:marTop w:val="0"/>
      <w:marBottom w:val="0"/>
      <w:divBdr>
        <w:top w:val="none" w:sz="0" w:space="0" w:color="auto"/>
        <w:left w:val="none" w:sz="0" w:space="0" w:color="auto"/>
        <w:bottom w:val="none" w:sz="0" w:space="0" w:color="auto"/>
        <w:right w:val="none" w:sz="0" w:space="0" w:color="auto"/>
      </w:divBdr>
    </w:div>
    <w:div w:id="1705864157">
      <w:bodyDiv w:val="1"/>
      <w:marLeft w:val="0"/>
      <w:marRight w:val="0"/>
      <w:marTop w:val="0"/>
      <w:marBottom w:val="0"/>
      <w:divBdr>
        <w:top w:val="none" w:sz="0" w:space="0" w:color="auto"/>
        <w:left w:val="none" w:sz="0" w:space="0" w:color="auto"/>
        <w:bottom w:val="none" w:sz="0" w:space="0" w:color="auto"/>
        <w:right w:val="none" w:sz="0" w:space="0" w:color="auto"/>
      </w:divBdr>
    </w:div>
    <w:div w:id="1841581008">
      <w:bodyDiv w:val="1"/>
      <w:marLeft w:val="0"/>
      <w:marRight w:val="0"/>
      <w:marTop w:val="0"/>
      <w:marBottom w:val="0"/>
      <w:divBdr>
        <w:top w:val="none" w:sz="0" w:space="0" w:color="auto"/>
        <w:left w:val="none" w:sz="0" w:space="0" w:color="auto"/>
        <w:bottom w:val="none" w:sz="0" w:space="0" w:color="auto"/>
        <w:right w:val="none" w:sz="0" w:space="0" w:color="auto"/>
      </w:divBdr>
    </w:div>
    <w:div w:id="1873378628">
      <w:bodyDiv w:val="1"/>
      <w:marLeft w:val="0"/>
      <w:marRight w:val="0"/>
      <w:marTop w:val="0"/>
      <w:marBottom w:val="0"/>
      <w:divBdr>
        <w:top w:val="none" w:sz="0" w:space="0" w:color="auto"/>
        <w:left w:val="none" w:sz="0" w:space="0" w:color="auto"/>
        <w:bottom w:val="none" w:sz="0" w:space="0" w:color="auto"/>
        <w:right w:val="none" w:sz="0" w:space="0" w:color="auto"/>
      </w:divBdr>
    </w:div>
    <w:div w:id="1884635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faktury@zdarns.c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aktury@zdarns.cz"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05D3A6B448DB8418C7A46AD998FC183"/>
        <w:category>
          <w:name w:val="Obecné"/>
          <w:gallery w:val="placeholder"/>
        </w:category>
        <w:types>
          <w:type w:val="bbPlcHdr"/>
        </w:types>
        <w:behaviors>
          <w:behavior w:val="content"/>
        </w:behaviors>
        <w:guid w:val="{A754034A-F9ED-914A-ABD5-DE0268E9E3E3}"/>
      </w:docPartPr>
      <w:docPartBody>
        <w:p>
          <w:pPr>
            <w:pStyle w:val="605D3A6B448DB8418C7A46AD998FC183"/>
          </w:pPr>
          <w:r>
            <w:rPr>
              <w:rStyle w:val="Zstupntext"/>
            </w:rPr>
            <w:t>z</w:t>
          </w:r>
          <w:r>
            <w:rPr>
              <w:rStyle w:val="Zstupntext"/>
            </w:rPr>
            <w:t>volte položku.</w:t>
          </w:r>
        </w:p>
      </w:docPartBody>
    </w:docPart>
    <w:docPart>
      <w:docPartPr>
        <w:name w:val="0A6F7B15569E7B4A865AC1766A71F1DA"/>
        <w:category>
          <w:name w:val="Obecné"/>
          <w:gallery w:val="placeholder"/>
        </w:category>
        <w:types>
          <w:type w:val="bbPlcHdr"/>
        </w:types>
        <w:behaviors>
          <w:behavior w:val="content"/>
        </w:behaviors>
        <w:guid w:val="{55BB88D1-78FD-9348-A308-927483DD3CD2}"/>
      </w:docPartPr>
      <w:docPartBody>
        <w:p>
          <w:pPr>
            <w:pStyle w:val="0A6F7B15569E7B4A865AC1766A71F1DA"/>
          </w:pPr>
          <w:r>
            <w:rPr>
              <w:rStyle w:val="Zstupntext"/>
            </w:rPr>
            <w:t>z</w:t>
          </w:r>
          <w:r>
            <w:rPr>
              <w:rStyle w:val="Zstupntext"/>
            </w:rPr>
            <w:t>volte položku.</w:t>
          </w:r>
        </w:p>
      </w:docPartBody>
    </w:docPart>
    <w:docPart>
      <w:docPartPr>
        <w:name w:val="F1ED2629E063CB44BF7E0C0D7BE50C6C"/>
        <w:category>
          <w:name w:val="Obecné"/>
          <w:gallery w:val="placeholder"/>
        </w:category>
        <w:types>
          <w:type w:val="bbPlcHdr"/>
        </w:types>
        <w:behaviors>
          <w:behavior w:val="content"/>
        </w:behaviors>
        <w:guid w:val="{72E77832-8A8C-BB4C-ACD9-B0BD229E0391}"/>
      </w:docPartPr>
      <w:docPartBody>
        <w:p>
          <w:pPr>
            <w:pStyle w:val="F1ED2629E063CB44BF7E0C0D7BE50C6C"/>
          </w:pPr>
          <w:r>
            <w:rPr>
              <w:rStyle w:val="Zstupntext"/>
              <w:highlight w:val="yellow"/>
            </w:rPr>
            <w:t>z</w:t>
          </w:r>
          <w:r>
            <w:rPr>
              <w:rStyle w:val="Zstupntext"/>
              <w:highlight w:val="yellow"/>
            </w:rPr>
            <w:t>volte položku</w:t>
          </w:r>
        </w:p>
      </w:docPartBody>
    </w:docPart>
    <w:docPart>
      <w:docPartPr>
        <w:name w:val="3683C3D2FCEC2E42BE4497ECFD5118A8"/>
        <w:category>
          <w:name w:val="Obecné"/>
          <w:gallery w:val="placeholder"/>
        </w:category>
        <w:types>
          <w:type w:val="bbPlcHdr"/>
        </w:types>
        <w:behaviors>
          <w:behavior w:val="content"/>
        </w:behaviors>
        <w:guid w:val="{6005B768-3B3C-DB44-A434-0E11B9383241}"/>
      </w:docPartPr>
      <w:docPartBody>
        <w:p>
          <w:pPr>
            <w:pStyle w:val="3683C3D2FCEC2E42BE4497ECFD5118A8"/>
          </w:pPr>
          <w:r>
            <w:rPr>
              <w:rStyle w:val="Zstupntext"/>
              <w:highlight w:val="yellow"/>
            </w:rPr>
            <w:t>z</w:t>
          </w:r>
          <w:r>
            <w:rPr>
              <w:rStyle w:val="Zstupntext"/>
              <w:highlight w:val="yellow"/>
            </w:rPr>
            <w:t>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rlito">
    <w:altName w:val="Calibri"/>
    <w:charset w:val="01"/>
    <w:family w:val="roman"/>
    <w:pitch w:val="variable"/>
  </w:font>
  <w:font w:name="DejaVu Sans">
    <w:altName w:val="Arial"/>
    <w:panose1 w:val="00000000000000000000"/>
    <w:charset w:val="00"/>
    <w:family w:val="roman"/>
    <w:notTrueType/>
    <w:pitch w:val="default"/>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605D3A6B448DB8418C7A46AD998FC183">
    <w:name w:val="605D3A6B448DB8418C7A46AD998FC183"/>
  </w:style>
  <w:style w:type="paragraph" w:customStyle="1" w:styleId="0A6F7B15569E7B4A865AC1766A71F1DA">
    <w:name w:val="0A6F7B15569E7B4A865AC1766A71F1DA"/>
  </w:style>
  <w:style w:type="paragraph" w:customStyle="1" w:styleId="F1ED2629E063CB44BF7E0C0D7BE50C6C">
    <w:name w:val="F1ED2629E063CB44BF7E0C0D7BE50C6C"/>
  </w:style>
  <w:style w:type="paragraph" w:customStyle="1" w:styleId="3683C3D2FCEC2E42BE4497ECFD5118A8">
    <w:name w:val="3683C3D2FCEC2E42BE4497ECFD5118A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425C6-5892-4F9D-B44F-FF9185663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43</Pages>
  <Words>16064</Words>
  <Characters>94778</Characters>
  <Application>Microsoft Office Word</Application>
  <DocSecurity>0</DocSecurity>
  <Lines>789</Lines>
  <Paragraphs>221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110621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Strnadová Věra Ing.</dc:creator>
  <cp:keywords/>
  <dc:description/>
  <cp:lastModifiedBy>Kotoučková Jana Bc. DiS.</cp:lastModifiedBy>
  <cp:revision>100</cp:revision>
  <dcterms:created xsi:type="dcterms:W3CDTF">2026-03-25T10:42:00Z</dcterms:created>
  <dcterms:modified xsi:type="dcterms:W3CDTF">2026-04-10T13:40:00Z</dcterms:modified>
  <cp:category/>
  <dc:language>cs-CZ</dc:language>
</cp:coreProperties>
</file>